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240" w:lineRule="auto"/>
        <w:ind w:right="105" w:firstLine="0" w:firstLineChars="0"/>
        <w:jc w:val="center"/>
        <w:rPr>
          <w:rFonts w:hint="eastAsia" w:ascii="仿宋" w:hAnsi="仿宋" w:eastAsia="仿宋" w:cs="仿宋"/>
          <w:b/>
          <w:color w:val="auto"/>
          <w:sz w:val="52"/>
          <w:szCs w:val="52"/>
          <w:highlight w:val="none"/>
          <w:lang w:val="en-US" w:eastAsia="zh-CN"/>
        </w:rPr>
      </w:pPr>
      <w:r>
        <w:rPr>
          <w:rFonts w:hint="eastAsia" w:ascii="仿宋" w:hAnsi="仿宋" w:eastAsia="仿宋" w:cs="仿宋"/>
          <w:b/>
          <w:color w:val="auto"/>
          <w:sz w:val="52"/>
          <w:szCs w:val="52"/>
          <w:highlight w:val="none"/>
          <w:lang w:val="zh-CN"/>
        </w:rPr>
        <w:t>2025—202</w:t>
      </w:r>
      <w:r>
        <w:rPr>
          <w:rFonts w:hint="eastAsia" w:ascii="仿宋" w:hAnsi="仿宋" w:eastAsia="仿宋" w:cs="仿宋"/>
          <w:b/>
          <w:color w:val="auto"/>
          <w:sz w:val="52"/>
          <w:szCs w:val="52"/>
          <w:highlight w:val="none"/>
        </w:rPr>
        <w:t>7</w:t>
      </w:r>
      <w:r>
        <w:rPr>
          <w:rFonts w:hint="eastAsia" w:ascii="仿宋" w:hAnsi="仿宋" w:eastAsia="仿宋" w:cs="仿宋"/>
          <w:b/>
          <w:color w:val="auto"/>
          <w:sz w:val="52"/>
          <w:szCs w:val="52"/>
          <w:highlight w:val="none"/>
          <w:lang w:val="zh-CN"/>
        </w:rPr>
        <w:t>年</w:t>
      </w:r>
      <w:r>
        <w:rPr>
          <w:rFonts w:hint="eastAsia" w:ascii="仿宋" w:hAnsi="仿宋" w:eastAsia="仿宋" w:cs="仿宋"/>
          <w:b/>
          <w:color w:val="auto"/>
          <w:sz w:val="52"/>
          <w:szCs w:val="52"/>
          <w:highlight w:val="none"/>
          <w:lang w:val="en-US" w:eastAsia="zh-CN"/>
        </w:rPr>
        <w:t>东辰集团物业板块</w:t>
      </w:r>
    </w:p>
    <w:p>
      <w:pPr>
        <w:widowControl/>
        <w:adjustRightInd w:val="0"/>
        <w:snapToGrid w:val="0"/>
        <w:spacing w:line="240" w:lineRule="auto"/>
        <w:ind w:right="105" w:firstLine="0" w:firstLineChars="0"/>
        <w:jc w:val="center"/>
        <w:rPr>
          <w:rFonts w:hint="eastAsia" w:ascii="仿宋" w:hAnsi="仿宋" w:eastAsia="仿宋" w:cs="仿宋"/>
          <w:b/>
          <w:color w:val="auto"/>
          <w:sz w:val="52"/>
          <w:szCs w:val="52"/>
          <w:highlight w:val="none"/>
        </w:rPr>
      </w:pPr>
      <w:r>
        <w:rPr>
          <w:rFonts w:hint="eastAsia" w:ascii="仿宋" w:hAnsi="仿宋" w:eastAsia="仿宋" w:cs="仿宋"/>
          <w:b/>
          <w:color w:val="auto"/>
          <w:sz w:val="52"/>
          <w:szCs w:val="52"/>
          <w:highlight w:val="none"/>
          <w:lang w:val="zh-CN"/>
        </w:rPr>
        <w:t>保洁、</w:t>
      </w:r>
      <w:r>
        <w:rPr>
          <w:rFonts w:hint="eastAsia" w:ascii="仿宋" w:hAnsi="仿宋" w:eastAsia="仿宋" w:cs="仿宋"/>
          <w:b/>
          <w:color w:val="auto"/>
          <w:sz w:val="52"/>
          <w:szCs w:val="52"/>
          <w:highlight w:val="none"/>
          <w:lang w:val="en-US" w:eastAsia="zh-CN"/>
        </w:rPr>
        <w:t>绿化</w:t>
      </w:r>
      <w:r>
        <w:rPr>
          <w:rFonts w:hint="eastAsia" w:ascii="仿宋" w:hAnsi="仿宋" w:eastAsia="仿宋" w:cs="仿宋"/>
          <w:b/>
          <w:color w:val="auto"/>
          <w:sz w:val="52"/>
          <w:szCs w:val="52"/>
          <w:highlight w:val="none"/>
          <w:lang w:val="zh-CN"/>
        </w:rPr>
        <w:t>服务</w:t>
      </w:r>
      <w:r>
        <w:rPr>
          <w:rFonts w:hint="eastAsia" w:ascii="仿宋" w:hAnsi="仿宋" w:eastAsia="仿宋" w:cs="仿宋"/>
          <w:b/>
          <w:color w:val="auto"/>
          <w:sz w:val="52"/>
          <w:szCs w:val="52"/>
          <w:highlight w:val="none"/>
        </w:rPr>
        <w:t>采购</w:t>
      </w:r>
    </w:p>
    <w:p>
      <w:pPr>
        <w:widowControl/>
        <w:adjustRightInd w:val="0"/>
        <w:snapToGrid w:val="0"/>
        <w:spacing w:line="240" w:lineRule="auto"/>
        <w:ind w:right="105" w:firstLine="0" w:firstLineChars="0"/>
        <w:jc w:val="center"/>
        <w:rPr>
          <w:rFonts w:hint="default" w:ascii="仿宋" w:hAnsi="仿宋" w:eastAsia="仿宋" w:cs="仿宋"/>
          <w:b/>
          <w:color w:val="auto"/>
          <w:sz w:val="52"/>
          <w:szCs w:val="52"/>
          <w:highlight w:val="none"/>
          <w:lang w:val="en-US" w:eastAsia="zh-CN"/>
        </w:rPr>
      </w:pPr>
      <w:r>
        <w:rPr>
          <w:rFonts w:hint="eastAsia" w:ascii="仿宋" w:hAnsi="仿宋" w:eastAsia="仿宋" w:cs="仿宋"/>
          <w:b/>
          <w:color w:val="auto"/>
          <w:sz w:val="52"/>
          <w:szCs w:val="52"/>
          <w:highlight w:val="none"/>
          <w:lang w:eastAsia="zh-CN"/>
        </w:rPr>
        <w:t>（</w:t>
      </w:r>
      <w:r>
        <w:rPr>
          <w:rFonts w:hint="eastAsia" w:ascii="仿宋" w:hAnsi="仿宋" w:eastAsia="仿宋" w:cs="仿宋"/>
          <w:b/>
          <w:color w:val="auto"/>
          <w:sz w:val="52"/>
          <w:szCs w:val="52"/>
          <w:highlight w:val="none"/>
          <w:lang w:val="en-US" w:eastAsia="zh-CN"/>
        </w:rPr>
        <w:t>三标段）</w:t>
      </w:r>
    </w:p>
    <w:p>
      <w:pPr>
        <w:widowControl/>
        <w:adjustRightInd w:val="0"/>
        <w:snapToGrid w:val="0"/>
        <w:ind w:right="105" w:firstLine="0" w:firstLineChars="0"/>
        <w:jc w:val="center"/>
        <w:rPr>
          <w:rFonts w:ascii="仿宋" w:hAnsi="仿宋" w:eastAsia="仿宋" w:cs="仿宋"/>
          <w:b/>
          <w:color w:val="auto"/>
          <w:sz w:val="96"/>
          <w:szCs w:val="96"/>
          <w:highlight w:val="none"/>
        </w:rPr>
      </w:pPr>
      <w:r>
        <w:rPr>
          <w:rFonts w:hint="eastAsia" w:ascii="仿宋" w:hAnsi="仿宋" w:eastAsia="仿宋" w:cs="仿宋"/>
          <w:b/>
          <w:color w:val="auto"/>
          <w:sz w:val="96"/>
          <w:szCs w:val="96"/>
          <w:highlight w:val="none"/>
        </w:rPr>
        <w:t>招</w:t>
      </w:r>
    </w:p>
    <w:p>
      <w:pPr>
        <w:widowControl/>
        <w:adjustRightInd w:val="0"/>
        <w:snapToGrid w:val="0"/>
        <w:ind w:right="105" w:firstLine="0" w:firstLineChars="0"/>
        <w:jc w:val="center"/>
        <w:rPr>
          <w:rFonts w:ascii="仿宋" w:hAnsi="仿宋" w:eastAsia="仿宋" w:cs="仿宋"/>
          <w:b/>
          <w:color w:val="auto"/>
          <w:sz w:val="96"/>
          <w:szCs w:val="96"/>
          <w:highlight w:val="none"/>
        </w:rPr>
      </w:pPr>
      <w:r>
        <w:rPr>
          <w:rFonts w:hint="eastAsia" w:ascii="仿宋" w:hAnsi="仿宋" w:eastAsia="仿宋" w:cs="仿宋"/>
          <w:b/>
          <w:color w:val="auto"/>
          <w:sz w:val="96"/>
          <w:szCs w:val="96"/>
          <w:highlight w:val="none"/>
        </w:rPr>
        <w:t>标</w:t>
      </w:r>
    </w:p>
    <w:p>
      <w:pPr>
        <w:widowControl/>
        <w:adjustRightInd w:val="0"/>
        <w:snapToGrid w:val="0"/>
        <w:ind w:right="105" w:firstLine="0" w:firstLineChars="0"/>
        <w:jc w:val="center"/>
        <w:rPr>
          <w:rFonts w:ascii="仿宋" w:hAnsi="仿宋" w:eastAsia="仿宋" w:cs="仿宋"/>
          <w:b/>
          <w:color w:val="auto"/>
          <w:sz w:val="96"/>
          <w:szCs w:val="96"/>
          <w:highlight w:val="none"/>
        </w:rPr>
      </w:pPr>
      <w:r>
        <w:rPr>
          <w:rFonts w:hint="eastAsia" w:ascii="仿宋" w:hAnsi="仿宋" w:eastAsia="仿宋" w:cs="仿宋"/>
          <w:b/>
          <w:color w:val="auto"/>
          <w:sz w:val="96"/>
          <w:szCs w:val="96"/>
          <w:highlight w:val="none"/>
        </w:rPr>
        <w:t>文</w:t>
      </w:r>
    </w:p>
    <w:p>
      <w:pPr>
        <w:widowControl/>
        <w:adjustRightInd w:val="0"/>
        <w:snapToGrid w:val="0"/>
        <w:ind w:right="105" w:firstLine="0" w:firstLineChars="0"/>
        <w:jc w:val="center"/>
        <w:rPr>
          <w:rFonts w:ascii="仿宋" w:hAnsi="仿宋" w:eastAsia="仿宋" w:cs="仿宋"/>
          <w:b/>
          <w:color w:val="auto"/>
          <w:sz w:val="52"/>
          <w:szCs w:val="52"/>
          <w:highlight w:val="none"/>
        </w:rPr>
      </w:pPr>
      <w:r>
        <w:rPr>
          <w:rFonts w:hint="eastAsia" w:ascii="仿宋" w:hAnsi="仿宋" w:eastAsia="仿宋" w:cs="仿宋"/>
          <w:b/>
          <w:color w:val="auto"/>
          <w:sz w:val="96"/>
          <w:szCs w:val="96"/>
          <w:highlight w:val="none"/>
        </w:rPr>
        <w:t>件</w:t>
      </w:r>
    </w:p>
    <w:p>
      <w:pPr>
        <w:widowControl/>
        <w:tabs>
          <w:tab w:val="left" w:pos="6840"/>
        </w:tabs>
        <w:adjustRightInd w:val="0"/>
        <w:snapToGrid w:val="0"/>
        <w:ind w:right="105" w:firstLine="560"/>
        <w:jc w:val="cente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【2025】年【</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】月</w:t>
      </w:r>
    </w:p>
    <w:p>
      <w:pPr>
        <w:widowControl/>
        <w:tabs>
          <w:tab w:val="left" w:pos="6840"/>
        </w:tabs>
        <w:adjustRightInd w:val="0"/>
        <w:snapToGrid w:val="0"/>
        <w:ind w:right="105" w:firstLine="560"/>
        <w:jc w:val="center"/>
        <w:rPr>
          <w:rFonts w:ascii="仿宋" w:hAnsi="仿宋" w:eastAsia="仿宋" w:cs="仿宋"/>
          <w:color w:val="auto"/>
          <w:sz w:val="28"/>
          <w:szCs w:val="28"/>
          <w:highlight w:val="none"/>
        </w:rPr>
      </w:pPr>
    </w:p>
    <w:p>
      <w:pPr>
        <w:ind w:right="105" w:firstLine="0" w:firstLineChars="0"/>
        <w:jc w:val="center"/>
        <w:rPr>
          <w:rFonts w:hint="default" w:ascii="仿宋" w:hAnsi="仿宋" w:eastAsia="仿宋" w:cs="仿宋"/>
          <w:b/>
          <w:bCs/>
          <w:color w:val="auto"/>
          <w:sz w:val="28"/>
          <w:szCs w:val="28"/>
          <w:highlight w:val="none"/>
          <w:lang w:val="en-US" w:eastAsia="zh-CN"/>
        </w:rPr>
      </w:pPr>
      <w:r>
        <w:rPr>
          <w:rFonts w:hint="eastAsia" w:ascii="仿宋" w:hAnsi="仿宋" w:eastAsia="仿宋" w:cs="仿宋"/>
          <w:b/>
          <w:bCs/>
          <w:color w:val="auto"/>
          <w:sz w:val="28"/>
          <w:szCs w:val="28"/>
          <w:highlight w:val="none"/>
        </w:rPr>
        <w:t>招标人：</w:t>
      </w:r>
      <w:r>
        <w:rPr>
          <w:rFonts w:hint="eastAsia" w:ascii="仿宋" w:hAnsi="仿宋" w:eastAsia="仿宋" w:cs="仿宋"/>
          <w:b/>
          <w:bCs/>
          <w:color w:val="auto"/>
          <w:sz w:val="28"/>
          <w:szCs w:val="28"/>
          <w:highlight w:val="none"/>
          <w:lang w:val="en-US" w:eastAsia="zh-CN"/>
        </w:rPr>
        <w:t>四川东辰集团（股份）有限公司</w:t>
      </w:r>
    </w:p>
    <w:p>
      <w:pPr>
        <w:pStyle w:val="2"/>
        <w:ind w:right="105"/>
        <w:rPr>
          <w:color w:val="auto"/>
          <w:highlight w:val="none"/>
        </w:rPr>
      </w:pPr>
    </w:p>
    <w:p>
      <w:pPr>
        <w:pStyle w:val="2"/>
        <w:ind w:right="105"/>
        <w:rPr>
          <w:color w:val="auto"/>
          <w:highlight w:val="none"/>
        </w:rPr>
      </w:pPr>
    </w:p>
    <w:p>
      <w:pPr>
        <w:pStyle w:val="2"/>
        <w:ind w:right="105"/>
        <w:rPr>
          <w:color w:val="auto"/>
          <w:highlight w:val="none"/>
        </w:rPr>
      </w:pPr>
    </w:p>
    <w:p>
      <w:pPr>
        <w:pStyle w:val="19"/>
        <w:tabs>
          <w:tab w:val="right" w:leader="dot" w:pos="8868"/>
          <w:tab w:val="clear" w:pos="8296"/>
        </w:tabs>
        <w:ind w:right="105" w:firstLine="482"/>
        <w:rPr>
          <w:rFonts w:asciiTheme="majorEastAsia" w:hAnsiTheme="majorEastAsia" w:eastAsiaTheme="majorEastAsia" w:cstheme="majorEastAsia"/>
          <w:color w:val="auto"/>
          <w:sz w:val="24"/>
          <w:szCs w:val="24"/>
          <w:highlight w:val="none"/>
        </w:rPr>
      </w:pPr>
    </w:p>
    <w:p>
      <w:pPr>
        <w:pStyle w:val="19"/>
        <w:tabs>
          <w:tab w:val="right" w:leader="dot" w:pos="8868"/>
          <w:tab w:val="clear" w:pos="8296"/>
        </w:tabs>
        <w:ind w:right="105" w:firstLine="482"/>
        <w:rPr>
          <w:rFonts w:asciiTheme="majorEastAsia" w:hAnsiTheme="majorEastAsia" w:eastAsiaTheme="majorEastAsia" w:cstheme="majorEastAsia"/>
          <w:color w:val="auto"/>
          <w:sz w:val="24"/>
          <w:szCs w:val="24"/>
          <w:highlight w:val="none"/>
        </w:rPr>
      </w:pPr>
    </w:p>
    <w:p>
      <w:pPr>
        <w:pStyle w:val="19"/>
        <w:tabs>
          <w:tab w:val="right" w:leader="dot" w:pos="8868"/>
          <w:tab w:val="clear" w:pos="8296"/>
        </w:tabs>
        <w:ind w:right="105" w:firstLine="482"/>
        <w:rPr>
          <w:rFonts w:asciiTheme="majorEastAsia" w:hAnsiTheme="majorEastAsia" w:eastAsiaTheme="majorEastAsia" w:cstheme="majorEastAsia"/>
          <w:color w:val="auto"/>
          <w:sz w:val="24"/>
          <w:szCs w:val="24"/>
          <w:highlight w:val="none"/>
        </w:rPr>
      </w:pPr>
    </w:p>
    <w:p>
      <w:pPr>
        <w:pStyle w:val="19"/>
        <w:tabs>
          <w:tab w:val="right" w:leader="dot" w:pos="8868"/>
          <w:tab w:val="clear" w:pos="8296"/>
        </w:tabs>
        <w:ind w:right="105" w:firstLine="482"/>
        <w:rPr>
          <w:rFonts w:asciiTheme="majorEastAsia" w:hAnsiTheme="majorEastAsia" w:eastAsiaTheme="majorEastAsia" w:cstheme="majorEastAsia"/>
          <w:color w:val="auto"/>
          <w:sz w:val="32"/>
          <w:szCs w:val="32"/>
          <w:highlight w:val="none"/>
        </w:rPr>
      </w:pPr>
      <w:r>
        <w:rPr>
          <w:rFonts w:hint="eastAsia" w:asciiTheme="majorEastAsia" w:hAnsiTheme="majorEastAsia" w:eastAsiaTheme="majorEastAsia" w:cstheme="majorEastAsia"/>
          <w:color w:val="auto"/>
          <w:sz w:val="32"/>
          <w:szCs w:val="32"/>
          <w:highlight w:val="none"/>
        </w:rPr>
        <w:t>目  录</w:t>
      </w:r>
    </w:p>
    <w:p>
      <w:pPr>
        <w:pStyle w:val="19"/>
        <w:tabs>
          <w:tab w:val="right" w:leader="dot" w:pos="8868"/>
          <w:tab w:val="clear" w:pos="8296"/>
        </w:tabs>
        <w:spacing w:before="0" w:after="0" w:line="240" w:lineRule="auto"/>
        <w:ind w:right="105" w:firstLine="0" w:firstLineChars="0"/>
        <w:jc w:val="left"/>
        <w:rPr>
          <w:rFonts w:asciiTheme="majorEastAsia" w:hAnsiTheme="majorEastAsia" w:eastAsiaTheme="majorEastAsia" w:cstheme="majorEastAsia"/>
          <w:color w:val="auto"/>
          <w:sz w:val="24"/>
          <w:szCs w:val="24"/>
          <w:highlight w:val="none"/>
        </w:rPr>
      </w:pPr>
    </w:p>
    <w:p>
      <w:pPr>
        <w:pStyle w:val="19"/>
        <w:tabs>
          <w:tab w:val="right" w:leader="dot" w:pos="8868"/>
          <w:tab w:val="clear" w:pos="8296"/>
        </w:tabs>
        <w:rPr>
          <w:color w:val="auto"/>
          <w:sz w:val="24"/>
          <w:szCs w:val="24"/>
          <w:highlight w:val="none"/>
        </w:rPr>
      </w:pPr>
      <w:r>
        <w:rPr>
          <w:rFonts w:hint="eastAsia" w:asciiTheme="majorEastAsia" w:hAnsiTheme="majorEastAsia" w:eastAsiaTheme="majorEastAsia" w:cstheme="majorEastAsia"/>
          <w:color w:val="auto"/>
          <w:sz w:val="24"/>
          <w:szCs w:val="24"/>
          <w:highlight w:val="none"/>
        </w:rPr>
        <w:fldChar w:fldCharType="begin"/>
      </w:r>
      <w:r>
        <w:rPr>
          <w:rFonts w:hint="eastAsia" w:asciiTheme="majorEastAsia" w:hAnsiTheme="majorEastAsia" w:eastAsiaTheme="majorEastAsia" w:cstheme="majorEastAsia"/>
          <w:color w:val="auto"/>
          <w:sz w:val="24"/>
          <w:szCs w:val="24"/>
          <w:highlight w:val="none"/>
        </w:rPr>
        <w:instrText xml:space="preserve"> TOC \o "1-3" \h \z \u </w:instrText>
      </w:r>
      <w:r>
        <w:rPr>
          <w:rFonts w:hint="eastAsia" w:asciiTheme="majorEastAsia" w:hAnsiTheme="majorEastAsia" w:eastAsiaTheme="majorEastAsia" w:cstheme="majorEastAsia"/>
          <w:color w:val="auto"/>
          <w:sz w:val="24"/>
          <w:szCs w:val="24"/>
          <w:highlight w:val="none"/>
        </w:rPr>
        <w:fldChar w:fldCharType="separate"/>
      </w:r>
      <w:r>
        <w:rPr>
          <w:rFonts w:hint="eastAsia" w:asciiTheme="majorEastAsia" w:hAnsiTheme="majorEastAsia" w:eastAsiaTheme="majorEastAsia" w:cstheme="majorEastAsia"/>
          <w:color w:val="auto"/>
          <w:sz w:val="24"/>
          <w:szCs w:val="24"/>
          <w:highlight w:val="none"/>
        </w:rPr>
        <w:fldChar w:fldCharType="begin"/>
      </w:r>
      <w:r>
        <w:rPr>
          <w:rFonts w:hint="eastAsia" w:asciiTheme="majorEastAsia" w:hAnsiTheme="majorEastAsia" w:eastAsiaTheme="majorEastAsia" w:cstheme="majorEastAsia"/>
          <w:color w:val="auto"/>
          <w:sz w:val="24"/>
          <w:szCs w:val="24"/>
          <w:highlight w:val="none"/>
        </w:rPr>
        <w:instrText xml:space="preserve"> HYPERLINK \l _Toc19812 </w:instrText>
      </w:r>
      <w:r>
        <w:rPr>
          <w:rFonts w:hint="eastAsia" w:asciiTheme="majorEastAsia" w:hAnsiTheme="majorEastAsia" w:eastAsiaTheme="majorEastAsia" w:cstheme="majorEastAsia"/>
          <w:color w:val="auto"/>
          <w:sz w:val="24"/>
          <w:szCs w:val="24"/>
          <w:highlight w:val="none"/>
        </w:rPr>
        <w:fldChar w:fldCharType="separate"/>
      </w:r>
      <w:r>
        <w:rPr>
          <w:rFonts w:hint="eastAsia" w:asciiTheme="majorEastAsia" w:hAnsiTheme="majorEastAsia" w:eastAsiaTheme="majorEastAsia" w:cstheme="majorEastAsia"/>
          <w:bCs/>
          <w:color w:val="auto"/>
          <w:sz w:val="24"/>
          <w:szCs w:val="24"/>
          <w:highlight w:val="none"/>
        </w:rPr>
        <w:t xml:space="preserve">第一章 </w:t>
      </w:r>
      <w:r>
        <w:rPr>
          <w:rFonts w:hint="eastAsia" w:asciiTheme="majorEastAsia" w:hAnsiTheme="majorEastAsia" w:eastAsiaTheme="majorEastAsia" w:cstheme="majorEastAsia"/>
          <w:bCs/>
          <w:color w:val="auto"/>
          <w:sz w:val="24"/>
          <w:szCs w:val="24"/>
          <w:highlight w:val="none"/>
          <w:lang w:val="en-US" w:eastAsia="zh-CN"/>
        </w:rPr>
        <w:t xml:space="preserve"> </w:t>
      </w:r>
      <w:r>
        <w:rPr>
          <w:rFonts w:hint="eastAsia" w:asciiTheme="majorEastAsia" w:hAnsiTheme="majorEastAsia" w:eastAsiaTheme="majorEastAsia" w:cstheme="majorEastAsia"/>
          <w:bCs/>
          <w:color w:val="auto"/>
          <w:sz w:val="24"/>
          <w:szCs w:val="24"/>
          <w:highlight w:val="none"/>
        </w:rPr>
        <w:t>招标公告</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_Toc19812 \h </w:instrText>
      </w:r>
      <w:r>
        <w:rPr>
          <w:color w:val="auto"/>
          <w:sz w:val="24"/>
          <w:szCs w:val="24"/>
          <w:highlight w:val="none"/>
        </w:rPr>
        <w:fldChar w:fldCharType="separate"/>
      </w:r>
      <w:r>
        <w:rPr>
          <w:color w:val="auto"/>
          <w:sz w:val="24"/>
          <w:szCs w:val="24"/>
          <w:highlight w:val="none"/>
        </w:rPr>
        <w:t>3</w:t>
      </w:r>
      <w:r>
        <w:rPr>
          <w:color w:val="auto"/>
          <w:sz w:val="24"/>
          <w:szCs w:val="24"/>
          <w:highlight w:val="none"/>
        </w:rPr>
        <w:fldChar w:fldCharType="end"/>
      </w:r>
      <w:r>
        <w:rPr>
          <w:rFonts w:hint="eastAsia" w:asciiTheme="majorEastAsia" w:hAnsiTheme="majorEastAsia" w:eastAsiaTheme="majorEastAsia" w:cstheme="majorEastAsia"/>
          <w:color w:val="auto"/>
          <w:sz w:val="24"/>
          <w:szCs w:val="24"/>
          <w:highlight w:val="none"/>
        </w:rPr>
        <w:fldChar w:fldCharType="end"/>
      </w:r>
    </w:p>
    <w:p>
      <w:pPr>
        <w:pStyle w:val="19"/>
        <w:tabs>
          <w:tab w:val="right" w:leader="dot" w:pos="8868"/>
          <w:tab w:val="clear" w:pos="8296"/>
        </w:tabs>
        <w:rPr>
          <w:color w:val="auto"/>
          <w:sz w:val="24"/>
          <w:szCs w:val="24"/>
          <w:highlight w:val="none"/>
        </w:rPr>
      </w:pPr>
      <w:r>
        <w:rPr>
          <w:rFonts w:hint="eastAsia" w:asciiTheme="majorEastAsia" w:hAnsiTheme="majorEastAsia" w:eastAsiaTheme="majorEastAsia" w:cstheme="majorEastAsia"/>
          <w:color w:val="auto"/>
          <w:sz w:val="24"/>
          <w:szCs w:val="24"/>
          <w:highlight w:val="none"/>
        </w:rPr>
        <w:fldChar w:fldCharType="begin"/>
      </w:r>
      <w:r>
        <w:rPr>
          <w:rFonts w:hint="eastAsia" w:asciiTheme="majorEastAsia" w:hAnsiTheme="majorEastAsia" w:eastAsiaTheme="majorEastAsia" w:cstheme="majorEastAsia"/>
          <w:color w:val="auto"/>
          <w:sz w:val="24"/>
          <w:szCs w:val="24"/>
          <w:highlight w:val="none"/>
        </w:rPr>
        <w:instrText xml:space="preserve"> HYPERLINK \l _Toc10974 </w:instrText>
      </w:r>
      <w:r>
        <w:rPr>
          <w:rFonts w:hint="eastAsia" w:asciiTheme="majorEastAsia" w:hAnsiTheme="majorEastAsia" w:eastAsiaTheme="majorEastAsia" w:cstheme="majorEastAsia"/>
          <w:color w:val="auto"/>
          <w:sz w:val="24"/>
          <w:szCs w:val="24"/>
          <w:highlight w:val="none"/>
        </w:rPr>
        <w:fldChar w:fldCharType="separate"/>
      </w:r>
      <w:r>
        <w:rPr>
          <w:rFonts w:hint="eastAsia" w:asciiTheme="majorEastAsia" w:hAnsiTheme="majorEastAsia" w:eastAsiaTheme="majorEastAsia" w:cstheme="majorEastAsia"/>
          <w:bCs/>
          <w:color w:val="auto"/>
          <w:sz w:val="24"/>
          <w:szCs w:val="24"/>
          <w:highlight w:val="none"/>
        </w:rPr>
        <w:t>第二章</w:t>
      </w:r>
      <w:r>
        <w:rPr>
          <w:rFonts w:hint="eastAsia" w:asciiTheme="majorEastAsia" w:hAnsiTheme="majorEastAsia" w:eastAsiaTheme="majorEastAsia" w:cstheme="majorEastAsia"/>
          <w:bCs/>
          <w:color w:val="auto"/>
          <w:sz w:val="24"/>
          <w:szCs w:val="24"/>
          <w:highlight w:val="none"/>
          <w:lang w:val="en-US" w:eastAsia="zh-CN"/>
        </w:rPr>
        <w:t xml:space="preserve"> </w:t>
      </w:r>
      <w:r>
        <w:rPr>
          <w:rFonts w:hint="eastAsia" w:asciiTheme="majorEastAsia" w:hAnsiTheme="majorEastAsia" w:eastAsiaTheme="majorEastAsia" w:cstheme="majorEastAsia"/>
          <w:bCs/>
          <w:color w:val="auto"/>
          <w:sz w:val="24"/>
          <w:szCs w:val="24"/>
          <w:highlight w:val="none"/>
        </w:rPr>
        <w:t xml:space="preserve"> 投标人须知</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_Toc10974 \h </w:instrText>
      </w:r>
      <w:r>
        <w:rPr>
          <w:color w:val="auto"/>
          <w:sz w:val="24"/>
          <w:szCs w:val="24"/>
          <w:highlight w:val="none"/>
        </w:rPr>
        <w:fldChar w:fldCharType="separate"/>
      </w:r>
      <w:r>
        <w:rPr>
          <w:color w:val="auto"/>
          <w:sz w:val="24"/>
          <w:szCs w:val="24"/>
          <w:highlight w:val="none"/>
        </w:rPr>
        <w:t>5</w:t>
      </w:r>
      <w:r>
        <w:rPr>
          <w:color w:val="auto"/>
          <w:sz w:val="24"/>
          <w:szCs w:val="24"/>
          <w:highlight w:val="none"/>
        </w:rPr>
        <w:fldChar w:fldCharType="end"/>
      </w:r>
      <w:r>
        <w:rPr>
          <w:rFonts w:hint="eastAsia" w:asciiTheme="majorEastAsia" w:hAnsiTheme="majorEastAsia" w:eastAsiaTheme="majorEastAsia" w:cstheme="majorEastAsia"/>
          <w:color w:val="auto"/>
          <w:sz w:val="24"/>
          <w:szCs w:val="24"/>
          <w:highlight w:val="none"/>
        </w:rPr>
        <w:fldChar w:fldCharType="end"/>
      </w:r>
    </w:p>
    <w:p>
      <w:pPr>
        <w:pStyle w:val="19"/>
        <w:tabs>
          <w:tab w:val="right" w:leader="dot" w:pos="8868"/>
          <w:tab w:val="clear" w:pos="8296"/>
        </w:tabs>
        <w:rPr>
          <w:color w:val="auto"/>
          <w:sz w:val="24"/>
          <w:szCs w:val="24"/>
          <w:highlight w:val="none"/>
        </w:rPr>
      </w:pPr>
      <w:r>
        <w:rPr>
          <w:rFonts w:hint="eastAsia" w:asciiTheme="majorEastAsia" w:hAnsiTheme="majorEastAsia" w:eastAsiaTheme="majorEastAsia" w:cstheme="majorEastAsia"/>
          <w:color w:val="auto"/>
          <w:sz w:val="24"/>
          <w:szCs w:val="24"/>
          <w:highlight w:val="none"/>
        </w:rPr>
        <w:fldChar w:fldCharType="begin"/>
      </w:r>
      <w:r>
        <w:rPr>
          <w:rFonts w:hint="eastAsia" w:asciiTheme="majorEastAsia" w:hAnsiTheme="majorEastAsia" w:eastAsiaTheme="majorEastAsia" w:cstheme="majorEastAsia"/>
          <w:color w:val="auto"/>
          <w:sz w:val="24"/>
          <w:szCs w:val="24"/>
          <w:highlight w:val="none"/>
        </w:rPr>
        <w:instrText xml:space="preserve"> HYPERLINK \l _Toc30734 </w:instrText>
      </w:r>
      <w:r>
        <w:rPr>
          <w:rFonts w:hint="eastAsia" w:asciiTheme="majorEastAsia" w:hAnsiTheme="majorEastAsia" w:eastAsiaTheme="majorEastAsia" w:cstheme="majorEastAsia"/>
          <w:color w:val="auto"/>
          <w:sz w:val="24"/>
          <w:szCs w:val="24"/>
          <w:highlight w:val="none"/>
        </w:rPr>
        <w:fldChar w:fldCharType="separate"/>
      </w:r>
      <w:r>
        <w:rPr>
          <w:rFonts w:hint="eastAsia" w:asciiTheme="majorEastAsia" w:hAnsiTheme="majorEastAsia" w:eastAsiaTheme="majorEastAsia" w:cstheme="majorEastAsia"/>
          <w:color w:val="auto"/>
          <w:sz w:val="24"/>
          <w:szCs w:val="24"/>
          <w:highlight w:val="none"/>
        </w:rPr>
        <w:t>第三章  主要采购内容及技术、商务要求</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_Toc30734 \h </w:instrText>
      </w:r>
      <w:r>
        <w:rPr>
          <w:color w:val="auto"/>
          <w:sz w:val="24"/>
          <w:szCs w:val="24"/>
          <w:highlight w:val="none"/>
        </w:rPr>
        <w:fldChar w:fldCharType="separate"/>
      </w:r>
      <w:r>
        <w:rPr>
          <w:color w:val="auto"/>
          <w:sz w:val="24"/>
          <w:szCs w:val="24"/>
          <w:highlight w:val="none"/>
        </w:rPr>
        <w:t>21</w:t>
      </w:r>
      <w:r>
        <w:rPr>
          <w:color w:val="auto"/>
          <w:sz w:val="24"/>
          <w:szCs w:val="24"/>
          <w:highlight w:val="none"/>
        </w:rPr>
        <w:fldChar w:fldCharType="end"/>
      </w:r>
      <w:r>
        <w:rPr>
          <w:rFonts w:hint="eastAsia" w:asciiTheme="majorEastAsia" w:hAnsiTheme="majorEastAsia" w:eastAsiaTheme="majorEastAsia" w:cstheme="majorEastAsia"/>
          <w:color w:val="auto"/>
          <w:sz w:val="24"/>
          <w:szCs w:val="24"/>
          <w:highlight w:val="none"/>
        </w:rPr>
        <w:fldChar w:fldCharType="end"/>
      </w:r>
    </w:p>
    <w:p>
      <w:pPr>
        <w:pStyle w:val="19"/>
        <w:tabs>
          <w:tab w:val="right" w:leader="dot" w:pos="8868"/>
          <w:tab w:val="clear" w:pos="8296"/>
        </w:tabs>
        <w:rPr>
          <w:color w:val="auto"/>
          <w:sz w:val="24"/>
          <w:szCs w:val="24"/>
          <w:highlight w:val="none"/>
        </w:rPr>
      </w:pPr>
      <w:r>
        <w:rPr>
          <w:rFonts w:hint="eastAsia" w:asciiTheme="majorEastAsia" w:hAnsiTheme="majorEastAsia" w:eastAsiaTheme="majorEastAsia" w:cstheme="majorEastAsia"/>
          <w:color w:val="auto"/>
          <w:sz w:val="24"/>
          <w:szCs w:val="24"/>
          <w:highlight w:val="none"/>
        </w:rPr>
        <w:fldChar w:fldCharType="begin"/>
      </w:r>
      <w:r>
        <w:rPr>
          <w:rFonts w:hint="eastAsia" w:asciiTheme="majorEastAsia" w:hAnsiTheme="majorEastAsia" w:eastAsiaTheme="majorEastAsia" w:cstheme="majorEastAsia"/>
          <w:color w:val="auto"/>
          <w:sz w:val="24"/>
          <w:szCs w:val="24"/>
          <w:highlight w:val="none"/>
        </w:rPr>
        <w:instrText xml:space="preserve"> HYPERLINK \l _Toc28341 </w:instrText>
      </w:r>
      <w:r>
        <w:rPr>
          <w:rFonts w:hint="eastAsia" w:asciiTheme="majorEastAsia" w:hAnsiTheme="majorEastAsia" w:eastAsiaTheme="majorEastAsia" w:cstheme="majorEastAsia"/>
          <w:color w:val="auto"/>
          <w:sz w:val="24"/>
          <w:szCs w:val="24"/>
          <w:highlight w:val="none"/>
        </w:rPr>
        <w:fldChar w:fldCharType="separate"/>
      </w:r>
      <w:r>
        <w:rPr>
          <w:rFonts w:hint="eastAsia" w:asciiTheme="majorEastAsia" w:hAnsiTheme="majorEastAsia" w:eastAsiaTheme="majorEastAsia" w:cstheme="majorEastAsia"/>
          <w:bCs/>
          <w:color w:val="auto"/>
          <w:sz w:val="24"/>
          <w:szCs w:val="24"/>
          <w:highlight w:val="none"/>
        </w:rPr>
        <w:t>第四章  评标办法</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_Toc28341 \h </w:instrText>
      </w:r>
      <w:r>
        <w:rPr>
          <w:color w:val="auto"/>
          <w:sz w:val="24"/>
          <w:szCs w:val="24"/>
          <w:highlight w:val="none"/>
        </w:rPr>
        <w:fldChar w:fldCharType="separate"/>
      </w:r>
      <w:r>
        <w:rPr>
          <w:color w:val="auto"/>
          <w:sz w:val="24"/>
          <w:szCs w:val="24"/>
          <w:highlight w:val="none"/>
        </w:rPr>
        <w:t>46</w:t>
      </w:r>
      <w:r>
        <w:rPr>
          <w:color w:val="auto"/>
          <w:sz w:val="24"/>
          <w:szCs w:val="24"/>
          <w:highlight w:val="none"/>
        </w:rPr>
        <w:fldChar w:fldCharType="end"/>
      </w:r>
      <w:r>
        <w:rPr>
          <w:rFonts w:hint="eastAsia" w:asciiTheme="majorEastAsia" w:hAnsiTheme="majorEastAsia" w:eastAsiaTheme="majorEastAsia" w:cstheme="majorEastAsia"/>
          <w:color w:val="auto"/>
          <w:sz w:val="24"/>
          <w:szCs w:val="24"/>
          <w:highlight w:val="none"/>
        </w:rPr>
        <w:fldChar w:fldCharType="end"/>
      </w:r>
    </w:p>
    <w:p>
      <w:pPr>
        <w:pStyle w:val="19"/>
        <w:tabs>
          <w:tab w:val="right" w:leader="dot" w:pos="8868"/>
          <w:tab w:val="clear" w:pos="8296"/>
        </w:tabs>
        <w:rPr>
          <w:color w:val="auto"/>
          <w:sz w:val="24"/>
          <w:szCs w:val="24"/>
          <w:highlight w:val="none"/>
        </w:rPr>
      </w:pPr>
      <w:r>
        <w:rPr>
          <w:rFonts w:hint="eastAsia" w:asciiTheme="majorEastAsia" w:hAnsiTheme="majorEastAsia" w:eastAsiaTheme="majorEastAsia" w:cstheme="majorEastAsia"/>
          <w:color w:val="auto"/>
          <w:sz w:val="24"/>
          <w:szCs w:val="24"/>
          <w:highlight w:val="none"/>
        </w:rPr>
        <w:fldChar w:fldCharType="begin"/>
      </w:r>
      <w:r>
        <w:rPr>
          <w:rFonts w:hint="eastAsia" w:asciiTheme="majorEastAsia" w:hAnsiTheme="majorEastAsia" w:eastAsiaTheme="majorEastAsia" w:cstheme="majorEastAsia"/>
          <w:color w:val="auto"/>
          <w:sz w:val="24"/>
          <w:szCs w:val="24"/>
          <w:highlight w:val="none"/>
        </w:rPr>
        <w:instrText xml:space="preserve"> HYPERLINK \l _Toc25949 </w:instrText>
      </w:r>
      <w:r>
        <w:rPr>
          <w:rFonts w:hint="eastAsia" w:asciiTheme="majorEastAsia" w:hAnsiTheme="majorEastAsia" w:eastAsiaTheme="majorEastAsia" w:cstheme="majorEastAsia"/>
          <w:color w:val="auto"/>
          <w:sz w:val="24"/>
          <w:szCs w:val="24"/>
          <w:highlight w:val="none"/>
        </w:rPr>
        <w:fldChar w:fldCharType="separate"/>
      </w:r>
      <w:r>
        <w:rPr>
          <w:rFonts w:hint="eastAsia" w:asciiTheme="majorEastAsia" w:hAnsiTheme="majorEastAsia" w:eastAsiaTheme="majorEastAsia" w:cstheme="majorEastAsia"/>
          <w:bCs/>
          <w:color w:val="auto"/>
          <w:sz w:val="24"/>
          <w:szCs w:val="24"/>
          <w:highlight w:val="none"/>
        </w:rPr>
        <w:t>第五章  投标文件格式</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_Toc25949 \h </w:instrText>
      </w:r>
      <w:r>
        <w:rPr>
          <w:color w:val="auto"/>
          <w:sz w:val="24"/>
          <w:szCs w:val="24"/>
          <w:highlight w:val="none"/>
        </w:rPr>
        <w:fldChar w:fldCharType="separate"/>
      </w:r>
      <w:r>
        <w:rPr>
          <w:color w:val="auto"/>
          <w:sz w:val="24"/>
          <w:szCs w:val="24"/>
          <w:highlight w:val="none"/>
        </w:rPr>
        <w:t>55</w:t>
      </w:r>
      <w:r>
        <w:rPr>
          <w:color w:val="auto"/>
          <w:sz w:val="24"/>
          <w:szCs w:val="24"/>
          <w:highlight w:val="none"/>
        </w:rPr>
        <w:fldChar w:fldCharType="end"/>
      </w:r>
      <w:r>
        <w:rPr>
          <w:rFonts w:hint="eastAsia" w:asciiTheme="majorEastAsia" w:hAnsiTheme="majorEastAsia" w:eastAsiaTheme="majorEastAsia" w:cstheme="majorEastAsia"/>
          <w:color w:val="auto"/>
          <w:sz w:val="24"/>
          <w:szCs w:val="24"/>
          <w:highlight w:val="none"/>
        </w:rPr>
        <w:fldChar w:fldCharType="end"/>
      </w:r>
    </w:p>
    <w:p>
      <w:pPr>
        <w:pStyle w:val="19"/>
        <w:tabs>
          <w:tab w:val="right" w:leader="dot" w:pos="8868"/>
          <w:tab w:val="clear" w:pos="8296"/>
        </w:tabs>
        <w:rPr>
          <w:color w:val="auto"/>
          <w:sz w:val="24"/>
          <w:szCs w:val="24"/>
          <w:highlight w:val="none"/>
        </w:rPr>
      </w:pPr>
      <w:r>
        <w:rPr>
          <w:rFonts w:hint="eastAsia" w:asciiTheme="majorEastAsia" w:hAnsiTheme="majorEastAsia" w:eastAsiaTheme="majorEastAsia" w:cstheme="majorEastAsia"/>
          <w:color w:val="auto"/>
          <w:sz w:val="24"/>
          <w:szCs w:val="24"/>
          <w:highlight w:val="none"/>
        </w:rPr>
        <w:fldChar w:fldCharType="begin"/>
      </w:r>
      <w:r>
        <w:rPr>
          <w:rFonts w:hint="eastAsia" w:asciiTheme="majorEastAsia" w:hAnsiTheme="majorEastAsia" w:eastAsiaTheme="majorEastAsia" w:cstheme="majorEastAsia"/>
          <w:color w:val="auto"/>
          <w:sz w:val="24"/>
          <w:szCs w:val="24"/>
          <w:highlight w:val="none"/>
        </w:rPr>
        <w:instrText xml:space="preserve"> HYPERLINK \l _Toc13779 </w:instrText>
      </w:r>
      <w:r>
        <w:rPr>
          <w:rFonts w:hint="eastAsia" w:asciiTheme="majorEastAsia" w:hAnsiTheme="majorEastAsia" w:eastAsiaTheme="majorEastAsia" w:cstheme="majorEastAsia"/>
          <w:color w:val="auto"/>
          <w:sz w:val="24"/>
          <w:szCs w:val="24"/>
          <w:highlight w:val="none"/>
        </w:rPr>
        <w:fldChar w:fldCharType="separate"/>
      </w:r>
      <w:r>
        <w:rPr>
          <w:rFonts w:hint="eastAsia" w:asciiTheme="majorEastAsia" w:hAnsiTheme="majorEastAsia" w:eastAsiaTheme="majorEastAsia" w:cstheme="majorEastAsia"/>
          <w:bCs/>
          <w:color w:val="auto"/>
          <w:sz w:val="24"/>
          <w:szCs w:val="24"/>
          <w:highlight w:val="none"/>
        </w:rPr>
        <w:t>第六章  合同主要条款</w:t>
      </w:r>
      <w:r>
        <w:rPr>
          <w:color w:val="auto"/>
          <w:sz w:val="24"/>
          <w:szCs w:val="24"/>
          <w:highlight w:val="none"/>
        </w:rPr>
        <w:tab/>
      </w:r>
      <w:r>
        <w:rPr>
          <w:color w:val="auto"/>
          <w:sz w:val="24"/>
          <w:szCs w:val="24"/>
          <w:highlight w:val="none"/>
        </w:rPr>
        <w:fldChar w:fldCharType="begin"/>
      </w:r>
      <w:r>
        <w:rPr>
          <w:color w:val="auto"/>
          <w:sz w:val="24"/>
          <w:szCs w:val="24"/>
          <w:highlight w:val="none"/>
        </w:rPr>
        <w:instrText xml:space="preserve"> PAGEREF _Toc13779 \h </w:instrText>
      </w:r>
      <w:r>
        <w:rPr>
          <w:color w:val="auto"/>
          <w:sz w:val="24"/>
          <w:szCs w:val="24"/>
          <w:highlight w:val="none"/>
        </w:rPr>
        <w:fldChar w:fldCharType="separate"/>
      </w:r>
      <w:r>
        <w:rPr>
          <w:color w:val="auto"/>
          <w:sz w:val="24"/>
          <w:szCs w:val="24"/>
          <w:highlight w:val="none"/>
        </w:rPr>
        <w:t>67</w:t>
      </w:r>
      <w:r>
        <w:rPr>
          <w:color w:val="auto"/>
          <w:sz w:val="24"/>
          <w:szCs w:val="24"/>
          <w:highlight w:val="none"/>
        </w:rPr>
        <w:fldChar w:fldCharType="end"/>
      </w:r>
      <w:r>
        <w:rPr>
          <w:rFonts w:hint="eastAsia" w:asciiTheme="majorEastAsia" w:hAnsiTheme="majorEastAsia" w:eastAsiaTheme="majorEastAsia" w:cstheme="majorEastAsia"/>
          <w:color w:val="auto"/>
          <w:sz w:val="24"/>
          <w:szCs w:val="24"/>
          <w:highlight w:val="none"/>
        </w:rPr>
        <w:fldChar w:fldCharType="end"/>
      </w:r>
    </w:p>
    <w:p>
      <w:pPr>
        <w:spacing w:line="240" w:lineRule="auto"/>
        <w:ind w:right="0" w:firstLine="0" w:firstLineChars="0"/>
        <w:jc w:val="center"/>
        <w:outlineLvl w:val="0"/>
        <w:rPr>
          <w:rFonts w:hint="eastAsia" w:asciiTheme="majorEastAsia" w:hAnsiTheme="majorEastAsia" w:eastAsiaTheme="majorEastAsia" w:cstheme="majorEastAsia"/>
          <w:color w:val="auto"/>
          <w:szCs w:val="24"/>
          <w:highlight w:val="none"/>
          <w:lang w:eastAsia="zh-CN"/>
        </w:rPr>
      </w:pPr>
      <w:r>
        <w:rPr>
          <w:rFonts w:hint="eastAsia" w:asciiTheme="majorEastAsia" w:hAnsiTheme="majorEastAsia" w:eastAsiaTheme="majorEastAsia" w:cstheme="majorEastAsia"/>
          <w:color w:val="auto"/>
          <w:sz w:val="24"/>
          <w:szCs w:val="24"/>
          <w:highlight w:val="none"/>
        </w:rPr>
        <w:fldChar w:fldCharType="end"/>
      </w:r>
    </w:p>
    <w:p>
      <w:pPr>
        <w:pStyle w:val="2"/>
        <w:ind w:right="105"/>
        <w:rPr>
          <w:rFonts w:asciiTheme="majorEastAsia" w:hAnsiTheme="majorEastAsia" w:eastAsiaTheme="majorEastAsia" w:cstheme="majorEastAsia"/>
          <w:color w:val="auto"/>
          <w:highlight w:val="none"/>
        </w:rPr>
      </w:pPr>
    </w:p>
    <w:p>
      <w:pPr>
        <w:ind w:right="105" w:firstLine="680"/>
        <w:rPr>
          <w:rFonts w:asciiTheme="majorEastAsia" w:hAnsiTheme="majorEastAsia" w:eastAsiaTheme="majorEastAsia" w:cstheme="majorEastAsia"/>
          <w:color w:val="auto"/>
          <w:szCs w:val="24"/>
          <w:highlight w:val="none"/>
        </w:rPr>
      </w:pPr>
    </w:p>
    <w:p>
      <w:pPr>
        <w:pStyle w:val="2"/>
        <w:ind w:right="105"/>
        <w:rPr>
          <w:rFonts w:asciiTheme="majorEastAsia" w:hAnsiTheme="majorEastAsia" w:eastAsiaTheme="majorEastAsia" w:cstheme="majorEastAsia"/>
          <w:color w:val="auto"/>
          <w:highlight w:val="none"/>
        </w:rPr>
      </w:pPr>
    </w:p>
    <w:p>
      <w:pPr>
        <w:ind w:right="105" w:firstLine="680"/>
        <w:rPr>
          <w:rFonts w:asciiTheme="majorEastAsia" w:hAnsiTheme="majorEastAsia" w:eastAsiaTheme="majorEastAsia" w:cstheme="majorEastAsia"/>
          <w:color w:val="auto"/>
          <w:szCs w:val="24"/>
          <w:highlight w:val="none"/>
        </w:rPr>
      </w:pPr>
    </w:p>
    <w:p>
      <w:pPr>
        <w:pStyle w:val="2"/>
        <w:ind w:right="105"/>
        <w:rPr>
          <w:rFonts w:asciiTheme="majorEastAsia" w:hAnsiTheme="majorEastAsia" w:eastAsiaTheme="majorEastAsia" w:cstheme="majorEastAsia"/>
          <w:color w:val="auto"/>
          <w:highlight w:val="none"/>
        </w:rPr>
      </w:pPr>
    </w:p>
    <w:p>
      <w:pPr>
        <w:ind w:right="105" w:firstLine="680"/>
        <w:rPr>
          <w:rFonts w:asciiTheme="majorEastAsia" w:hAnsiTheme="majorEastAsia" w:eastAsiaTheme="majorEastAsia" w:cstheme="majorEastAsia"/>
          <w:color w:val="auto"/>
          <w:szCs w:val="24"/>
          <w:highlight w:val="none"/>
        </w:rPr>
      </w:pPr>
    </w:p>
    <w:p>
      <w:pPr>
        <w:pStyle w:val="2"/>
        <w:ind w:right="105"/>
        <w:rPr>
          <w:rFonts w:asciiTheme="majorEastAsia" w:hAnsiTheme="majorEastAsia" w:eastAsiaTheme="majorEastAsia" w:cstheme="majorEastAsia"/>
          <w:color w:val="auto"/>
          <w:highlight w:val="none"/>
        </w:rPr>
      </w:pPr>
    </w:p>
    <w:p>
      <w:pPr>
        <w:ind w:right="105" w:firstLine="680"/>
        <w:rPr>
          <w:rFonts w:asciiTheme="majorEastAsia" w:hAnsiTheme="majorEastAsia" w:eastAsiaTheme="majorEastAsia" w:cstheme="majorEastAsia"/>
          <w:color w:val="auto"/>
          <w:szCs w:val="24"/>
          <w:highlight w:val="none"/>
        </w:rPr>
      </w:pPr>
    </w:p>
    <w:p>
      <w:pPr>
        <w:pStyle w:val="2"/>
        <w:ind w:right="105"/>
        <w:rPr>
          <w:rFonts w:asciiTheme="majorEastAsia" w:hAnsiTheme="majorEastAsia" w:eastAsiaTheme="majorEastAsia" w:cstheme="majorEastAsia"/>
          <w:color w:val="auto"/>
          <w:highlight w:val="none"/>
        </w:rPr>
      </w:pPr>
    </w:p>
    <w:p>
      <w:pPr>
        <w:ind w:right="105" w:firstLine="680"/>
        <w:rPr>
          <w:rFonts w:asciiTheme="majorEastAsia" w:hAnsiTheme="majorEastAsia" w:eastAsiaTheme="majorEastAsia" w:cstheme="majorEastAsia"/>
          <w:color w:val="auto"/>
          <w:szCs w:val="24"/>
          <w:highlight w:val="none"/>
        </w:rPr>
      </w:pPr>
    </w:p>
    <w:p>
      <w:pPr>
        <w:pStyle w:val="2"/>
        <w:ind w:right="105"/>
        <w:rPr>
          <w:rFonts w:asciiTheme="majorEastAsia" w:hAnsiTheme="majorEastAsia" w:eastAsiaTheme="majorEastAsia" w:cstheme="majorEastAsia"/>
          <w:color w:val="auto"/>
          <w:highlight w:val="none"/>
        </w:rPr>
      </w:pPr>
    </w:p>
    <w:p>
      <w:pPr>
        <w:pStyle w:val="2"/>
        <w:ind w:right="105"/>
        <w:rPr>
          <w:rFonts w:asciiTheme="majorEastAsia" w:hAnsiTheme="majorEastAsia" w:eastAsiaTheme="majorEastAsia" w:cstheme="majorEastAsia"/>
          <w:color w:val="auto"/>
          <w:highlight w:val="none"/>
        </w:rPr>
      </w:pPr>
    </w:p>
    <w:p>
      <w:pPr>
        <w:ind w:right="105" w:firstLine="680"/>
        <w:rPr>
          <w:rFonts w:asciiTheme="majorEastAsia" w:hAnsiTheme="majorEastAsia" w:eastAsiaTheme="majorEastAsia" w:cstheme="majorEastAsia"/>
          <w:color w:val="auto"/>
          <w:szCs w:val="24"/>
          <w:highlight w:val="none"/>
        </w:rPr>
      </w:pPr>
    </w:p>
    <w:p>
      <w:pPr>
        <w:ind w:right="105" w:firstLine="680"/>
        <w:rPr>
          <w:rFonts w:asciiTheme="majorEastAsia" w:hAnsiTheme="majorEastAsia" w:eastAsiaTheme="majorEastAsia" w:cstheme="majorEastAsia"/>
          <w:color w:val="auto"/>
          <w:szCs w:val="24"/>
          <w:highlight w:val="none"/>
        </w:rPr>
      </w:pPr>
    </w:p>
    <w:p>
      <w:pPr>
        <w:pStyle w:val="2"/>
        <w:ind w:right="105"/>
        <w:rPr>
          <w:rFonts w:asciiTheme="majorEastAsia" w:hAnsiTheme="majorEastAsia" w:eastAsiaTheme="majorEastAsia" w:cstheme="majorEastAsia"/>
          <w:color w:val="auto"/>
          <w:highlight w:val="none"/>
        </w:rPr>
      </w:pPr>
    </w:p>
    <w:p>
      <w:pPr>
        <w:ind w:right="105" w:firstLine="680"/>
        <w:rPr>
          <w:rFonts w:asciiTheme="majorEastAsia" w:hAnsiTheme="majorEastAsia" w:eastAsiaTheme="majorEastAsia" w:cstheme="majorEastAsia"/>
          <w:color w:val="auto"/>
          <w:szCs w:val="24"/>
          <w:highlight w:val="none"/>
        </w:rPr>
      </w:pPr>
    </w:p>
    <w:p>
      <w:pPr>
        <w:pStyle w:val="2"/>
        <w:ind w:right="105"/>
        <w:rPr>
          <w:rFonts w:asciiTheme="majorEastAsia" w:hAnsiTheme="majorEastAsia" w:eastAsiaTheme="majorEastAsia" w:cstheme="majorEastAsia"/>
          <w:color w:val="auto"/>
          <w:highlight w:val="none"/>
        </w:rPr>
      </w:pPr>
    </w:p>
    <w:p>
      <w:pPr>
        <w:ind w:right="105" w:firstLine="0" w:firstLineChars="0"/>
        <w:jc w:val="center"/>
        <w:outlineLvl w:val="0"/>
        <w:rPr>
          <w:rFonts w:asciiTheme="majorEastAsia" w:hAnsiTheme="majorEastAsia" w:eastAsiaTheme="majorEastAsia" w:cstheme="majorEastAsia"/>
          <w:b/>
          <w:bCs/>
          <w:color w:val="auto"/>
          <w:highlight w:val="none"/>
        </w:rPr>
      </w:pPr>
      <w:bookmarkStart w:id="0" w:name="_Toc19812"/>
      <w:r>
        <w:rPr>
          <w:rFonts w:hint="eastAsia" w:asciiTheme="majorEastAsia" w:hAnsiTheme="majorEastAsia" w:eastAsiaTheme="majorEastAsia" w:cstheme="majorEastAsia"/>
          <w:b/>
          <w:bCs/>
          <w:color w:val="auto"/>
          <w:sz w:val="32"/>
          <w:szCs w:val="32"/>
          <w:highlight w:val="none"/>
        </w:rPr>
        <w:t>第一章 招标公告</w:t>
      </w:r>
      <w:bookmarkEnd w:id="0"/>
    </w:p>
    <w:p>
      <w:pPr>
        <w:ind w:right="105" w:firstLine="480"/>
        <w:rPr>
          <w:rFonts w:hint="eastAsia"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拟对</w:t>
      </w:r>
      <w:r>
        <w:rPr>
          <w:rFonts w:hint="eastAsia" w:asciiTheme="majorEastAsia" w:hAnsiTheme="majorEastAsia" w:eastAsiaTheme="majorEastAsia" w:cstheme="majorEastAsia"/>
          <w:color w:val="auto"/>
          <w:sz w:val="24"/>
          <w:szCs w:val="24"/>
          <w:highlight w:val="none"/>
          <w:lang w:val="zh-CN" w:eastAsia="zh-CN"/>
        </w:rPr>
        <w:t>四川东辰集团（股份）有限公司</w:t>
      </w:r>
      <w:r>
        <w:rPr>
          <w:rFonts w:hint="eastAsia" w:asciiTheme="majorEastAsia" w:hAnsiTheme="majorEastAsia" w:eastAsiaTheme="majorEastAsia" w:cstheme="majorEastAsia"/>
          <w:color w:val="auto"/>
          <w:sz w:val="24"/>
          <w:szCs w:val="24"/>
          <w:highlight w:val="none"/>
          <w:lang w:val="zh-CN"/>
        </w:rPr>
        <w:t>2025—2027年</w:t>
      </w:r>
      <w:r>
        <w:rPr>
          <w:rFonts w:hint="eastAsia" w:asciiTheme="majorEastAsia" w:hAnsiTheme="majorEastAsia" w:eastAsiaTheme="majorEastAsia" w:cstheme="majorEastAsia"/>
          <w:color w:val="auto"/>
          <w:sz w:val="24"/>
          <w:szCs w:val="24"/>
          <w:highlight w:val="none"/>
          <w:lang w:val="en-US" w:eastAsia="zh-CN"/>
        </w:rPr>
        <w:t>东辰集团物业板块</w:t>
      </w:r>
      <w:r>
        <w:rPr>
          <w:rFonts w:hint="eastAsia" w:asciiTheme="majorEastAsia" w:hAnsiTheme="majorEastAsia" w:eastAsiaTheme="majorEastAsia" w:cstheme="majorEastAsia"/>
          <w:color w:val="auto"/>
          <w:sz w:val="24"/>
          <w:szCs w:val="24"/>
          <w:highlight w:val="none"/>
          <w:lang w:val="zh-CN"/>
        </w:rPr>
        <w:t>保洁、</w:t>
      </w:r>
      <w:r>
        <w:rPr>
          <w:rFonts w:hint="eastAsia" w:asciiTheme="majorEastAsia" w:hAnsiTheme="majorEastAsia" w:eastAsiaTheme="majorEastAsia" w:cstheme="majorEastAsia"/>
          <w:color w:val="auto"/>
          <w:sz w:val="24"/>
          <w:szCs w:val="24"/>
          <w:highlight w:val="none"/>
          <w:lang w:val="en-US" w:eastAsia="zh-CN"/>
        </w:rPr>
        <w:t>绿化</w:t>
      </w:r>
      <w:r>
        <w:rPr>
          <w:rFonts w:hint="eastAsia" w:asciiTheme="majorEastAsia" w:hAnsiTheme="majorEastAsia" w:eastAsiaTheme="majorEastAsia" w:cstheme="majorEastAsia"/>
          <w:color w:val="auto"/>
          <w:sz w:val="24"/>
          <w:szCs w:val="24"/>
          <w:highlight w:val="none"/>
          <w:lang w:val="zh-CN"/>
        </w:rPr>
        <w:t>服务</w:t>
      </w:r>
      <w:r>
        <w:rPr>
          <w:rFonts w:hint="eastAsia" w:hAnsi="宋体" w:eastAsia="宋体" w:cs="宋体"/>
          <w:bCs/>
          <w:color w:val="auto"/>
          <w:kern w:val="0"/>
          <w:sz w:val="24"/>
          <w:szCs w:val="24"/>
          <w:highlight w:val="none"/>
          <w:lang w:val="en-US" w:eastAsia="zh-CN"/>
        </w:rPr>
        <w:t>（三标段）</w:t>
      </w:r>
      <w:r>
        <w:rPr>
          <w:rFonts w:hint="eastAsia" w:asciiTheme="majorEastAsia" w:hAnsiTheme="majorEastAsia" w:eastAsiaTheme="majorEastAsia" w:cstheme="majorEastAsia"/>
          <w:color w:val="auto"/>
          <w:sz w:val="24"/>
          <w:szCs w:val="24"/>
          <w:highlight w:val="none"/>
          <w:lang w:val="en-US" w:eastAsia="zh-CN"/>
        </w:rPr>
        <w:t>采购</w:t>
      </w:r>
      <w:r>
        <w:rPr>
          <w:rFonts w:hint="eastAsia" w:asciiTheme="majorEastAsia" w:hAnsiTheme="majorEastAsia" w:eastAsiaTheme="majorEastAsia" w:cstheme="majorEastAsia"/>
          <w:color w:val="auto"/>
          <w:sz w:val="24"/>
          <w:szCs w:val="24"/>
          <w:highlight w:val="none"/>
          <w:lang w:val="zh-CN"/>
        </w:rPr>
        <w:t>以</w:t>
      </w:r>
      <w:r>
        <w:rPr>
          <w:rFonts w:hint="eastAsia" w:asciiTheme="majorEastAsia" w:hAnsiTheme="majorEastAsia" w:eastAsiaTheme="majorEastAsia" w:cstheme="majorEastAsia"/>
          <w:color w:val="auto"/>
          <w:sz w:val="24"/>
          <w:szCs w:val="24"/>
          <w:highlight w:val="none"/>
          <w:lang w:val="zh-CN" w:eastAsia="zh-CN"/>
        </w:rPr>
        <w:t>公开</w:t>
      </w:r>
      <w:r>
        <w:rPr>
          <w:rFonts w:hint="eastAsia" w:asciiTheme="majorEastAsia" w:hAnsiTheme="majorEastAsia" w:eastAsiaTheme="majorEastAsia" w:cstheme="majorEastAsia"/>
          <w:color w:val="auto"/>
          <w:sz w:val="24"/>
          <w:szCs w:val="24"/>
          <w:highlight w:val="none"/>
          <w:lang w:val="zh-CN"/>
        </w:rPr>
        <w:t>邀请招标方式进行采购，兹邀请符合本次招标要求的投标人参加投标。</w:t>
      </w:r>
    </w:p>
    <w:p>
      <w:pPr>
        <w:ind w:right="105" w:firstLine="480"/>
        <w:rPr>
          <w:rFonts w:hint="eastAsia" w:asciiTheme="majorEastAsia" w:hAnsiTheme="majorEastAsia" w:eastAsiaTheme="majorEastAsia" w:cstheme="majorEastAsia"/>
          <w:b/>
          <w:bCs/>
          <w:color w:val="auto"/>
          <w:sz w:val="24"/>
          <w:szCs w:val="24"/>
          <w:highlight w:val="none"/>
          <w:lang w:val="zh-CN"/>
        </w:rPr>
      </w:pPr>
      <w:r>
        <w:rPr>
          <w:rFonts w:hint="eastAsia" w:asciiTheme="majorEastAsia" w:hAnsiTheme="majorEastAsia" w:eastAsiaTheme="majorEastAsia" w:cstheme="majorEastAsia"/>
          <w:b/>
          <w:bCs/>
          <w:color w:val="auto"/>
          <w:sz w:val="24"/>
          <w:szCs w:val="24"/>
          <w:highlight w:val="none"/>
          <w:lang w:val="zh-CN"/>
        </w:rPr>
        <w:t>一、采购项目基本情况：</w:t>
      </w:r>
    </w:p>
    <w:p>
      <w:pPr>
        <w:ind w:right="105" w:firstLine="480"/>
        <w:rPr>
          <w:rFonts w:hint="eastAsia"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1、项目名称：2025—2027年</w:t>
      </w:r>
      <w:r>
        <w:rPr>
          <w:rFonts w:hint="eastAsia" w:asciiTheme="majorEastAsia" w:hAnsiTheme="majorEastAsia" w:eastAsiaTheme="majorEastAsia" w:cstheme="majorEastAsia"/>
          <w:color w:val="auto"/>
          <w:sz w:val="24"/>
          <w:szCs w:val="24"/>
          <w:highlight w:val="none"/>
          <w:lang w:val="en-US" w:eastAsia="zh-CN"/>
        </w:rPr>
        <w:t>东辰集团物业板块</w:t>
      </w:r>
      <w:r>
        <w:rPr>
          <w:rFonts w:hint="eastAsia" w:asciiTheme="majorEastAsia" w:hAnsiTheme="majorEastAsia" w:eastAsiaTheme="majorEastAsia" w:cstheme="majorEastAsia"/>
          <w:color w:val="auto"/>
          <w:sz w:val="24"/>
          <w:szCs w:val="24"/>
          <w:highlight w:val="none"/>
          <w:lang w:val="zh-CN"/>
        </w:rPr>
        <w:t>保洁、</w:t>
      </w:r>
      <w:r>
        <w:rPr>
          <w:rFonts w:hint="eastAsia" w:asciiTheme="majorEastAsia" w:hAnsiTheme="majorEastAsia" w:eastAsiaTheme="majorEastAsia" w:cstheme="majorEastAsia"/>
          <w:color w:val="auto"/>
          <w:sz w:val="24"/>
          <w:szCs w:val="24"/>
          <w:highlight w:val="none"/>
          <w:lang w:val="en-US" w:eastAsia="zh-CN"/>
        </w:rPr>
        <w:t>绿化</w:t>
      </w:r>
      <w:r>
        <w:rPr>
          <w:rFonts w:hint="eastAsia" w:asciiTheme="majorEastAsia" w:hAnsiTheme="majorEastAsia" w:eastAsiaTheme="majorEastAsia" w:cstheme="majorEastAsia"/>
          <w:color w:val="auto"/>
          <w:sz w:val="24"/>
          <w:szCs w:val="24"/>
          <w:highlight w:val="none"/>
          <w:lang w:val="zh-CN"/>
        </w:rPr>
        <w:t>服务</w:t>
      </w:r>
      <w:r>
        <w:rPr>
          <w:rFonts w:hint="eastAsia" w:hAnsi="宋体" w:eastAsia="宋体" w:cs="宋体"/>
          <w:bCs/>
          <w:color w:val="auto"/>
          <w:kern w:val="0"/>
          <w:sz w:val="24"/>
          <w:szCs w:val="24"/>
          <w:highlight w:val="none"/>
          <w:lang w:val="en-US" w:eastAsia="zh-CN"/>
        </w:rPr>
        <w:t>（三标段）</w:t>
      </w:r>
    </w:p>
    <w:p>
      <w:pPr>
        <w:ind w:right="105" w:firstLine="480"/>
        <w:rPr>
          <w:rFonts w:hint="eastAsia"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2、招标人：</w:t>
      </w:r>
      <w:r>
        <w:rPr>
          <w:rFonts w:hint="eastAsia" w:asciiTheme="majorEastAsia" w:hAnsiTheme="majorEastAsia" w:eastAsiaTheme="majorEastAsia" w:cstheme="majorEastAsia"/>
          <w:color w:val="auto"/>
          <w:sz w:val="24"/>
          <w:szCs w:val="24"/>
          <w:highlight w:val="none"/>
          <w:lang w:val="zh-CN" w:eastAsia="zh-CN"/>
        </w:rPr>
        <w:t>四川东辰集团（股份）有限公司</w:t>
      </w:r>
    </w:p>
    <w:p>
      <w:pPr>
        <w:widowControl/>
        <w:ind w:right="105" w:firstLine="470" w:firstLineChars="196"/>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二、资金来源：</w:t>
      </w:r>
    </w:p>
    <w:p>
      <w:pPr>
        <w:widowControl/>
        <w:ind w:right="105" w:firstLine="470" w:firstLineChars="196"/>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招标项目企业自筹资金，</w:t>
      </w:r>
      <w:r>
        <w:rPr>
          <w:rFonts w:hint="eastAsia" w:asciiTheme="majorEastAsia" w:hAnsiTheme="majorEastAsia" w:eastAsiaTheme="majorEastAsia" w:cstheme="majorEastAsia"/>
          <w:bCs/>
          <w:color w:val="auto"/>
          <w:sz w:val="24"/>
          <w:szCs w:val="24"/>
          <w:highlight w:val="none"/>
          <w:lang w:val="zh-TW" w:eastAsia="zh-TW"/>
        </w:rPr>
        <w:t>出资比例为100%</w:t>
      </w:r>
      <w:r>
        <w:rPr>
          <w:rFonts w:hint="eastAsia" w:asciiTheme="majorEastAsia" w:hAnsiTheme="majorEastAsia" w:eastAsiaTheme="majorEastAsia" w:cstheme="majorEastAsia"/>
          <w:bCs/>
          <w:color w:val="auto"/>
          <w:sz w:val="24"/>
          <w:szCs w:val="24"/>
          <w:highlight w:val="none"/>
          <w:lang w:val="zh-TW"/>
        </w:rPr>
        <w:t>，资金已落实</w:t>
      </w:r>
      <w:r>
        <w:rPr>
          <w:rFonts w:hint="eastAsia" w:asciiTheme="majorEastAsia" w:hAnsiTheme="majorEastAsia" w:eastAsiaTheme="majorEastAsia" w:cstheme="majorEastAsia"/>
          <w:bCs/>
          <w:color w:val="auto"/>
          <w:sz w:val="24"/>
          <w:szCs w:val="24"/>
          <w:highlight w:val="none"/>
        </w:rPr>
        <w:t>。</w:t>
      </w:r>
    </w:p>
    <w:p>
      <w:pPr>
        <w:widowControl/>
        <w:ind w:right="105" w:firstLine="470" w:firstLineChars="196"/>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三、项目概况：</w:t>
      </w:r>
    </w:p>
    <w:p>
      <w:pPr>
        <w:pStyle w:val="102"/>
        <w:spacing w:line="520" w:lineRule="exact"/>
        <w:ind w:firstLine="480"/>
        <w:rPr>
          <w:rFonts w:ascii="宋体" w:hAnsi="宋体" w:eastAsia="宋体" w:cs="宋体"/>
          <w:bCs/>
          <w:color w:val="auto"/>
          <w:kern w:val="0"/>
          <w:sz w:val="24"/>
          <w:szCs w:val="24"/>
          <w:highlight w:val="none"/>
          <w:lang w:val="zh-TW" w:eastAsia="zh-TW"/>
        </w:rPr>
      </w:pPr>
      <w:r>
        <w:rPr>
          <w:rFonts w:hint="eastAsia" w:ascii="宋体" w:hAnsi="宋体" w:eastAsia="宋体" w:cs="宋体"/>
          <w:bCs/>
          <w:color w:val="auto"/>
          <w:kern w:val="0"/>
          <w:sz w:val="24"/>
          <w:szCs w:val="24"/>
          <w:highlight w:val="none"/>
          <w:lang w:val="zh-TW" w:eastAsia="zh-TW"/>
        </w:rPr>
        <w:t>2025—2027年</w:t>
      </w:r>
      <w:r>
        <w:rPr>
          <w:rFonts w:hint="eastAsia" w:asciiTheme="majorEastAsia" w:hAnsiTheme="majorEastAsia" w:eastAsiaTheme="majorEastAsia" w:cstheme="majorEastAsia"/>
          <w:color w:val="auto"/>
          <w:kern w:val="0"/>
          <w:sz w:val="24"/>
          <w:szCs w:val="24"/>
          <w:highlight w:val="none"/>
          <w:lang w:val="zh-TW" w:eastAsia="zh-TW" w:bidi="ar-SA"/>
        </w:rPr>
        <w:t>东辰集团</w:t>
      </w:r>
      <w:r>
        <w:rPr>
          <w:rFonts w:hint="eastAsia" w:asciiTheme="majorEastAsia" w:hAnsiTheme="majorEastAsia" w:eastAsiaTheme="majorEastAsia" w:cstheme="majorEastAsia"/>
          <w:color w:val="auto"/>
          <w:kern w:val="0"/>
          <w:sz w:val="24"/>
          <w:szCs w:val="24"/>
          <w:highlight w:val="none"/>
          <w:lang w:val="en-US" w:eastAsia="zh-CN" w:bidi="ar-SA"/>
        </w:rPr>
        <w:t>物业</w:t>
      </w:r>
      <w:r>
        <w:rPr>
          <w:rFonts w:hint="eastAsia" w:asciiTheme="majorEastAsia" w:hAnsiTheme="majorEastAsia" w:eastAsiaTheme="majorEastAsia" w:cstheme="majorEastAsia"/>
          <w:color w:val="auto"/>
          <w:kern w:val="0"/>
          <w:sz w:val="24"/>
          <w:szCs w:val="24"/>
          <w:highlight w:val="none"/>
          <w:lang w:val="zh-TW" w:eastAsia="zh-TW" w:bidi="ar-SA"/>
        </w:rPr>
        <w:t>板块</w:t>
      </w:r>
      <w:r>
        <w:rPr>
          <w:rFonts w:hint="eastAsia" w:ascii="宋体" w:hAnsi="宋体" w:eastAsia="宋体" w:cs="宋体"/>
          <w:bCs/>
          <w:color w:val="auto"/>
          <w:kern w:val="0"/>
          <w:sz w:val="24"/>
          <w:szCs w:val="24"/>
          <w:highlight w:val="none"/>
          <w:lang w:val="zh-TW" w:eastAsia="zh-CN"/>
        </w:rPr>
        <w:t>保洁、</w:t>
      </w:r>
      <w:r>
        <w:rPr>
          <w:rFonts w:hint="eastAsia" w:ascii="宋体" w:hAnsi="宋体" w:eastAsia="宋体" w:cs="宋体"/>
          <w:bCs/>
          <w:color w:val="auto"/>
          <w:kern w:val="0"/>
          <w:sz w:val="24"/>
          <w:szCs w:val="24"/>
          <w:highlight w:val="none"/>
          <w:lang w:val="en-US" w:eastAsia="zh-CN"/>
        </w:rPr>
        <w:t>绿化</w:t>
      </w:r>
      <w:r>
        <w:rPr>
          <w:rFonts w:hint="eastAsia" w:ascii="宋体" w:hAnsi="宋体" w:eastAsia="宋体" w:cs="宋体"/>
          <w:bCs/>
          <w:color w:val="auto"/>
          <w:kern w:val="0"/>
          <w:sz w:val="24"/>
          <w:szCs w:val="24"/>
          <w:highlight w:val="none"/>
          <w:lang w:val="zh-TW" w:eastAsia="zh-TW"/>
        </w:rPr>
        <w:t>服务</w:t>
      </w:r>
      <w:r>
        <w:rPr>
          <w:rFonts w:hint="eastAsia" w:ascii="宋体" w:hAnsi="宋体" w:eastAsia="宋体" w:cs="宋体"/>
          <w:bCs/>
          <w:color w:val="auto"/>
          <w:kern w:val="0"/>
          <w:sz w:val="24"/>
          <w:szCs w:val="24"/>
          <w:highlight w:val="none"/>
          <w:lang w:val="en-US" w:eastAsia="zh-CN"/>
        </w:rPr>
        <w:t>采购</w:t>
      </w:r>
      <w:r>
        <w:rPr>
          <w:rFonts w:hint="eastAsia" w:hAnsi="宋体" w:eastAsia="宋体" w:cs="宋体"/>
          <w:bCs/>
          <w:color w:val="auto"/>
          <w:kern w:val="0"/>
          <w:sz w:val="24"/>
          <w:szCs w:val="24"/>
          <w:highlight w:val="none"/>
          <w:lang w:val="en-US" w:eastAsia="zh-CN"/>
        </w:rPr>
        <w:t>（三标段）</w:t>
      </w:r>
      <w:r>
        <w:rPr>
          <w:rFonts w:ascii="宋体" w:hAnsi="宋体" w:eastAsia="宋体" w:cs="宋体"/>
          <w:bCs/>
          <w:color w:val="auto"/>
          <w:kern w:val="0"/>
          <w:sz w:val="24"/>
          <w:szCs w:val="24"/>
          <w:highlight w:val="none"/>
          <w:lang w:val="zh-TW" w:eastAsia="zh-TW"/>
        </w:rPr>
        <w:t>，本次招标详细要求见招标文件第三章。</w:t>
      </w:r>
    </w:p>
    <w:p>
      <w:pPr>
        <w:ind w:right="105" w:firstLine="482"/>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四、投标人应具备的资格条件：</w:t>
      </w:r>
    </w:p>
    <w:p>
      <w:pPr>
        <w:pStyle w:val="102"/>
        <w:spacing w:line="520" w:lineRule="exact"/>
        <w:ind w:firstLine="480"/>
        <w:rPr>
          <w:rFonts w:asciiTheme="majorEastAsia" w:hAnsiTheme="majorEastAsia" w:eastAsiaTheme="majorEastAsia" w:cstheme="majorEastAsia"/>
          <w:bCs/>
          <w:color w:val="auto"/>
          <w:kern w:val="0"/>
          <w:sz w:val="24"/>
          <w:szCs w:val="24"/>
          <w:highlight w:val="none"/>
          <w:lang w:val="zh-TW" w:eastAsia="zh-TW"/>
        </w:rPr>
      </w:pPr>
      <w:r>
        <w:rPr>
          <w:rFonts w:hint="eastAsia" w:asciiTheme="majorEastAsia" w:hAnsiTheme="majorEastAsia" w:eastAsiaTheme="majorEastAsia" w:cstheme="majorEastAsia"/>
          <w:bCs/>
          <w:color w:val="auto"/>
          <w:kern w:val="0"/>
          <w:sz w:val="24"/>
          <w:szCs w:val="24"/>
          <w:highlight w:val="none"/>
          <w:lang w:val="zh-TW" w:eastAsia="zh-TW"/>
        </w:rPr>
        <w:t>1、投标人应是</w:t>
      </w:r>
      <w:r>
        <w:rPr>
          <w:rFonts w:hint="eastAsia" w:asciiTheme="majorEastAsia" w:hAnsiTheme="majorEastAsia" w:eastAsiaTheme="majorEastAsia" w:cstheme="majorEastAsia"/>
          <w:bCs/>
          <w:color w:val="auto"/>
          <w:kern w:val="0"/>
          <w:sz w:val="24"/>
          <w:szCs w:val="24"/>
          <w:highlight w:val="none"/>
          <w:lang w:val="en-US" w:eastAsia="zh-CN"/>
        </w:rPr>
        <w:t>四川省</w:t>
      </w:r>
      <w:r>
        <w:rPr>
          <w:rFonts w:hint="eastAsia" w:asciiTheme="majorEastAsia" w:hAnsiTheme="majorEastAsia" w:eastAsiaTheme="majorEastAsia" w:cstheme="majorEastAsia"/>
          <w:bCs/>
          <w:color w:val="auto"/>
          <w:kern w:val="0"/>
          <w:sz w:val="24"/>
          <w:szCs w:val="24"/>
          <w:highlight w:val="none"/>
          <w:lang w:val="zh-TW" w:eastAsia="zh-TW"/>
        </w:rPr>
        <w:t>境内注册，具有独立法人资格的企业；</w:t>
      </w:r>
    </w:p>
    <w:p>
      <w:pPr>
        <w:pStyle w:val="102"/>
        <w:spacing w:line="520" w:lineRule="exact"/>
        <w:ind w:firstLine="480"/>
        <w:rPr>
          <w:rFonts w:asciiTheme="majorEastAsia" w:hAnsiTheme="majorEastAsia" w:eastAsiaTheme="majorEastAsia" w:cstheme="majorEastAsia"/>
          <w:bCs/>
          <w:color w:val="auto"/>
          <w:kern w:val="0"/>
          <w:sz w:val="24"/>
          <w:szCs w:val="24"/>
          <w:highlight w:val="none"/>
          <w:lang w:val="zh-TW" w:eastAsia="zh-TW"/>
        </w:rPr>
      </w:pPr>
      <w:r>
        <w:rPr>
          <w:rFonts w:hint="eastAsia" w:asciiTheme="majorEastAsia" w:hAnsiTheme="majorEastAsia" w:eastAsiaTheme="majorEastAsia" w:cstheme="majorEastAsia"/>
          <w:bCs/>
          <w:color w:val="auto"/>
          <w:kern w:val="0"/>
          <w:sz w:val="24"/>
          <w:szCs w:val="24"/>
          <w:highlight w:val="none"/>
          <w:lang w:val="zh-TW" w:eastAsia="zh-TW"/>
        </w:rPr>
        <w:t>2、具有良好的商业信誉和健全的财务会计制度；</w:t>
      </w:r>
    </w:p>
    <w:p>
      <w:pPr>
        <w:pStyle w:val="102"/>
        <w:spacing w:line="520" w:lineRule="exact"/>
        <w:ind w:firstLine="480"/>
        <w:rPr>
          <w:rFonts w:asciiTheme="majorEastAsia" w:hAnsiTheme="majorEastAsia" w:eastAsiaTheme="majorEastAsia" w:cstheme="majorEastAsia"/>
          <w:bCs/>
          <w:color w:val="auto"/>
          <w:kern w:val="0"/>
          <w:sz w:val="24"/>
          <w:szCs w:val="24"/>
          <w:highlight w:val="none"/>
          <w:lang w:val="zh-TW" w:eastAsia="zh-TW"/>
        </w:rPr>
      </w:pPr>
      <w:r>
        <w:rPr>
          <w:rFonts w:hint="eastAsia" w:asciiTheme="majorEastAsia" w:hAnsiTheme="majorEastAsia" w:eastAsiaTheme="majorEastAsia" w:cstheme="majorEastAsia"/>
          <w:bCs/>
          <w:color w:val="auto"/>
          <w:kern w:val="0"/>
          <w:sz w:val="24"/>
          <w:szCs w:val="24"/>
          <w:highlight w:val="none"/>
          <w:lang w:val="zh-TW" w:eastAsia="zh-TW"/>
        </w:rPr>
        <w:t>3、具有履行合同</w:t>
      </w:r>
      <w:r>
        <w:rPr>
          <w:rFonts w:hint="eastAsia" w:asciiTheme="majorEastAsia" w:hAnsiTheme="majorEastAsia" w:eastAsiaTheme="majorEastAsia" w:cstheme="majorEastAsia"/>
          <w:bCs/>
          <w:color w:val="auto"/>
          <w:kern w:val="0"/>
          <w:sz w:val="24"/>
          <w:szCs w:val="24"/>
          <w:highlight w:val="none"/>
          <w:lang w:val="zh-TW"/>
        </w:rPr>
        <w:t>所必需的</w:t>
      </w:r>
      <w:r>
        <w:rPr>
          <w:rFonts w:hint="eastAsia" w:asciiTheme="majorEastAsia" w:hAnsiTheme="majorEastAsia" w:eastAsiaTheme="majorEastAsia" w:cstheme="majorEastAsia"/>
          <w:bCs/>
          <w:color w:val="auto"/>
          <w:kern w:val="0"/>
          <w:sz w:val="24"/>
          <w:szCs w:val="24"/>
          <w:highlight w:val="none"/>
          <w:lang w:val="zh-TW" w:eastAsia="zh-TW"/>
        </w:rPr>
        <w:t>设备和专业技术能力；</w:t>
      </w:r>
    </w:p>
    <w:p>
      <w:pPr>
        <w:pStyle w:val="102"/>
        <w:spacing w:line="520" w:lineRule="exact"/>
        <w:ind w:firstLine="480"/>
        <w:rPr>
          <w:rFonts w:asciiTheme="majorEastAsia" w:hAnsiTheme="majorEastAsia" w:eastAsiaTheme="majorEastAsia" w:cstheme="majorEastAsia"/>
          <w:bCs/>
          <w:color w:val="auto"/>
          <w:kern w:val="0"/>
          <w:sz w:val="24"/>
          <w:szCs w:val="24"/>
          <w:highlight w:val="none"/>
          <w:lang w:val="zh-TW" w:eastAsia="zh-TW"/>
        </w:rPr>
      </w:pPr>
      <w:r>
        <w:rPr>
          <w:rFonts w:hint="eastAsia" w:asciiTheme="majorEastAsia" w:hAnsiTheme="majorEastAsia" w:eastAsiaTheme="majorEastAsia" w:cstheme="majorEastAsia"/>
          <w:bCs/>
          <w:color w:val="auto"/>
          <w:kern w:val="0"/>
          <w:sz w:val="24"/>
          <w:szCs w:val="24"/>
          <w:highlight w:val="none"/>
          <w:lang w:val="zh-TW" w:eastAsia="zh-TW"/>
        </w:rPr>
        <w:t>4、具有依法缴纳税收和社会保障资金的良好记录；</w:t>
      </w:r>
    </w:p>
    <w:p>
      <w:pPr>
        <w:pStyle w:val="102"/>
        <w:spacing w:line="520" w:lineRule="exact"/>
        <w:ind w:firstLine="480"/>
        <w:rPr>
          <w:rFonts w:asciiTheme="majorEastAsia" w:hAnsiTheme="majorEastAsia" w:eastAsiaTheme="majorEastAsia" w:cstheme="majorEastAsia"/>
          <w:bCs/>
          <w:color w:val="auto"/>
          <w:kern w:val="0"/>
          <w:sz w:val="24"/>
          <w:szCs w:val="24"/>
          <w:highlight w:val="none"/>
          <w:lang w:val="zh-TW" w:eastAsia="zh-TW"/>
        </w:rPr>
      </w:pPr>
      <w:r>
        <w:rPr>
          <w:rFonts w:hint="eastAsia" w:asciiTheme="majorEastAsia" w:hAnsiTheme="majorEastAsia" w:eastAsiaTheme="majorEastAsia" w:cstheme="majorEastAsia"/>
          <w:bCs/>
          <w:color w:val="auto"/>
          <w:kern w:val="0"/>
          <w:sz w:val="24"/>
          <w:szCs w:val="24"/>
          <w:highlight w:val="none"/>
          <w:lang w:val="zh-TW" w:eastAsia="zh-TW"/>
        </w:rPr>
        <w:t>5、参加采购活动前三年内，在经营活动中没有重大违法记录；</w:t>
      </w:r>
    </w:p>
    <w:p>
      <w:pPr>
        <w:pStyle w:val="102"/>
        <w:spacing w:line="520" w:lineRule="exact"/>
        <w:ind w:firstLine="480"/>
        <w:rPr>
          <w:rFonts w:hint="eastAsia" w:asciiTheme="majorEastAsia" w:hAnsiTheme="majorEastAsia" w:eastAsiaTheme="majorEastAsia" w:cstheme="majorEastAsia"/>
          <w:bCs/>
          <w:color w:val="auto"/>
          <w:kern w:val="0"/>
          <w:sz w:val="24"/>
          <w:szCs w:val="24"/>
          <w:highlight w:val="none"/>
          <w:lang w:val="zh-TW" w:eastAsia="zh-TW"/>
        </w:rPr>
      </w:pPr>
      <w:r>
        <w:rPr>
          <w:rFonts w:hint="eastAsia" w:asciiTheme="majorEastAsia" w:hAnsiTheme="majorEastAsia" w:eastAsiaTheme="majorEastAsia" w:cstheme="majorEastAsia"/>
          <w:bCs/>
          <w:color w:val="auto"/>
          <w:kern w:val="0"/>
          <w:sz w:val="24"/>
          <w:szCs w:val="24"/>
          <w:highlight w:val="none"/>
          <w:lang w:val="zh-TW" w:eastAsia="zh-TW"/>
        </w:rPr>
        <w:t>6、法律、行政法规规定的其他条件包括但不限于</w:t>
      </w:r>
      <w:r>
        <w:rPr>
          <w:rFonts w:hint="eastAsia" w:asciiTheme="majorEastAsia" w:hAnsiTheme="majorEastAsia" w:eastAsiaTheme="majorEastAsia" w:cstheme="majorEastAsia"/>
          <w:bCs/>
          <w:color w:val="auto"/>
          <w:kern w:val="0"/>
          <w:sz w:val="24"/>
          <w:szCs w:val="24"/>
          <w:highlight w:val="none"/>
          <w:lang w:val="zh-TW" w:eastAsia="zh-CN"/>
        </w:rPr>
        <w:t>保洁</w:t>
      </w:r>
      <w:r>
        <w:rPr>
          <w:rFonts w:hint="eastAsia" w:asciiTheme="majorEastAsia" w:hAnsiTheme="majorEastAsia" w:eastAsiaTheme="majorEastAsia" w:cstheme="majorEastAsia"/>
          <w:bCs/>
          <w:color w:val="auto"/>
          <w:kern w:val="0"/>
          <w:sz w:val="24"/>
          <w:szCs w:val="24"/>
          <w:highlight w:val="none"/>
          <w:lang w:val="zh-TW" w:eastAsia="zh-TW"/>
        </w:rPr>
        <w:t>服务许可证和无失信记录；</w:t>
      </w:r>
    </w:p>
    <w:p>
      <w:pPr>
        <w:pStyle w:val="102"/>
        <w:spacing w:line="520" w:lineRule="exact"/>
        <w:ind w:firstLine="480"/>
        <w:rPr>
          <w:rFonts w:hint="eastAsia" w:asciiTheme="majorEastAsia" w:hAnsiTheme="majorEastAsia" w:eastAsiaTheme="majorEastAsia" w:cstheme="majorEastAsia"/>
          <w:bCs/>
          <w:color w:val="auto"/>
          <w:kern w:val="0"/>
          <w:sz w:val="24"/>
          <w:szCs w:val="24"/>
          <w:highlight w:val="none"/>
          <w:lang w:val="zh-TW" w:eastAsia="zh-TW"/>
        </w:rPr>
      </w:pPr>
      <w:r>
        <w:rPr>
          <w:rFonts w:hint="eastAsia" w:asciiTheme="majorEastAsia" w:hAnsiTheme="majorEastAsia" w:eastAsiaTheme="majorEastAsia" w:cstheme="majorEastAsia"/>
          <w:bCs/>
          <w:color w:val="auto"/>
          <w:kern w:val="0"/>
          <w:sz w:val="24"/>
          <w:szCs w:val="24"/>
          <w:highlight w:val="none"/>
          <w:lang w:val="zh-TW" w:eastAsia="zh-TW"/>
        </w:rPr>
        <w:t>7、本项目不允许联合体投标；</w:t>
      </w:r>
    </w:p>
    <w:p>
      <w:pPr>
        <w:ind w:left="0" w:leftChars="0" w:right="105" w:firstLine="240" w:firstLineChars="100"/>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五、具有以下情形之一的投标人，禁止参加本次投标：</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1、截止到本项目投标截止时间，投标人处于行业单位投标限制期内的；</w:t>
      </w:r>
    </w:p>
    <w:p>
      <w:pPr>
        <w:pStyle w:val="102"/>
        <w:spacing w:line="520" w:lineRule="exact"/>
        <w:ind w:firstLine="480"/>
        <w:rPr>
          <w:rFonts w:asciiTheme="majorEastAsia" w:hAnsiTheme="majorEastAsia" w:eastAsiaTheme="majorEastAsia" w:cstheme="majorEastAsia"/>
          <w:bCs/>
          <w:color w:val="auto"/>
          <w:kern w:val="0"/>
          <w:sz w:val="24"/>
          <w:szCs w:val="24"/>
          <w:highlight w:val="none"/>
          <w:lang w:val="zh-TW" w:eastAsia="zh-TW"/>
        </w:rPr>
      </w:pPr>
      <w:r>
        <w:rPr>
          <w:rFonts w:hint="eastAsia" w:asciiTheme="majorEastAsia" w:hAnsiTheme="majorEastAsia" w:eastAsiaTheme="majorEastAsia" w:cstheme="majorEastAsia"/>
          <w:bCs/>
          <w:color w:val="auto"/>
          <w:kern w:val="0"/>
          <w:sz w:val="24"/>
          <w:szCs w:val="24"/>
          <w:highlight w:val="none"/>
          <w:lang w:val="zh-TW" w:eastAsia="zh-TW"/>
        </w:rPr>
        <w:t>2、</w:t>
      </w:r>
      <w:r>
        <w:rPr>
          <w:rFonts w:hint="eastAsia" w:asciiTheme="majorEastAsia" w:hAnsiTheme="majorEastAsia" w:eastAsiaTheme="majorEastAsia" w:cstheme="majorEastAsia"/>
          <w:bCs/>
          <w:color w:val="auto"/>
          <w:kern w:val="0"/>
          <w:sz w:val="24"/>
          <w:szCs w:val="24"/>
          <w:highlight w:val="none"/>
          <w:lang w:val="zh-TW"/>
        </w:rPr>
        <w:t>截止到本</w:t>
      </w:r>
      <w:r>
        <w:rPr>
          <w:rFonts w:hint="eastAsia" w:asciiTheme="majorEastAsia" w:hAnsiTheme="majorEastAsia" w:eastAsiaTheme="majorEastAsia" w:cstheme="majorEastAsia"/>
          <w:bCs/>
          <w:color w:val="auto"/>
          <w:kern w:val="0"/>
          <w:sz w:val="24"/>
          <w:szCs w:val="24"/>
          <w:highlight w:val="none"/>
          <w:lang w:val="zh-TW" w:eastAsia="zh-TW"/>
        </w:rPr>
        <w:t>项目投标截止时间，投标人被列入“国家企业信用信息公示系统”网站中严重违法失信企业名单（黑名单）信息；</w:t>
      </w:r>
      <w:r>
        <w:rPr>
          <w:rFonts w:hint="eastAsia" w:asciiTheme="majorEastAsia" w:hAnsiTheme="majorEastAsia" w:eastAsiaTheme="majorEastAsia" w:cstheme="majorEastAsia"/>
          <w:bCs/>
          <w:color w:val="auto"/>
          <w:kern w:val="0"/>
          <w:sz w:val="24"/>
          <w:szCs w:val="24"/>
          <w:highlight w:val="none"/>
          <w:lang w:val="zh-TW"/>
        </w:rPr>
        <w:t>202</w:t>
      </w:r>
      <w:r>
        <w:rPr>
          <w:rFonts w:hint="eastAsia" w:asciiTheme="majorEastAsia" w:hAnsiTheme="majorEastAsia" w:eastAsiaTheme="majorEastAsia" w:cstheme="majorEastAsia"/>
          <w:bCs/>
          <w:color w:val="auto"/>
          <w:kern w:val="0"/>
          <w:sz w:val="24"/>
          <w:szCs w:val="24"/>
          <w:highlight w:val="none"/>
        </w:rPr>
        <w:t>2</w:t>
      </w:r>
      <w:r>
        <w:rPr>
          <w:rFonts w:hint="eastAsia" w:asciiTheme="majorEastAsia" w:hAnsiTheme="majorEastAsia" w:eastAsiaTheme="majorEastAsia" w:cstheme="majorEastAsia"/>
          <w:bCs/>
          <w:color w:val="auto"/>
          <w:kern w:val="0"/>
          <w:sz w:val="24"/>
          <w:szCs w:val="24"/>
          <w:highlight w:val="none"/>
          <w:lang w:val="zh-TW" w:eastAsia="zh-TW"/>
        </w:rPr>
        <w:t>年1月1日以来，在“中国裁判文书网”网站显示有行贿行为记录的投标人或党政纪处分决定书认定的涉及行贿行为的投标人。</w:t>
      </w:r>
    </w:p>
    <w:p>
      <w:pPr>
        <w:ind w:right="105" w:firstLine="480"/>
        <w:rPr>
          <w:rFonts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sz w:val="24"/>
          <w:szCs w:val="24"/>
          <w:highlight w:val="none"/>
        </w:rPr>
        <w:t>3、投标人具有招标文件规定的其他禁止投标情形的。</w:t>
      </w:r>
    </w:p>
    <w:p>
      <w:pPr>
        <w:pStyle w:val="11"/>
        <w:ind w:right="105" w:firstLine="482"/>
        <w:rPr>
          <w:rFonts w:hint="default" w:ascii="宋体" w:hAnsi="宋体" w:eastAsia="宋体" w:cs="宋体"/>
          <w:b/>
          <w:color w:val="auto"/>
          <w:sz w:val="24"/>
          <w:szCs w:val="24"/>
          <w:highlight w:val="none"/>
          <w:lang w:val="en-US" w:eastAsia="zh-CN"/>
        </w:rPr>
      </w:pPr>
      <w:r>
        <w:rPr>
          <w:rFonts w:hint="eastAsia" w:asciiTheme="majorEastAsia" w:hAnsiTheme="majorEastAsia" w:eastAsiaTheme="majorEastAsia" w:cstheme="majorEastAsia"/>
          <w:b/>
          <w:color w:val="auto"/>
          <w:sz w:val="24"/>
          <w:szCs w:val="24"/>
          <w:highlight w:val="none"/>
        </w:rPr>
        <w:t>六、</w:t>
      </w:r>
      <w:r>
        <w:rPr>
          <w:rFonts w:hint="default" w:ascii="宋体" w:hAnsi="宋体" w:eastAsia="宋体" w:cs="宋体"/>
          <w:b/>
          <w:color w:val="auto"/>
          <w:sz w:val="24"/>
          <w:szCs w:val="24"/>
          <w:highlight w:val="none"/>
          <w:lang w:val="en-US"/>
        </w:rPr>
        <w:t>特别提示：</w:t>
      </w:r>
      <w:r>
        <w:rPr>
          <w:rFonts w:hint="eastAsia" w:ascii="宋体" w:hAnsi="宋体" w:eastAsia="宋体" w:cs="宋体"/>
          <w:b/>
          <w:color w:val="auto"/>
          <w:sz w:val="24"/>
          <w:szCs w:val="24"/>
          <w:highlight w:val="none"/>
        </w:rPr>
        <w:t>本项目不接受联合体投标</w:t>
      </w:r>
      <w:r>
        <w:rPr>
          <w:rFonts w:hint="default" w:ascii="宋体" w:hAnsi="宋体" w:cs="宋体"/>
          <w:b/>
          <w:color w:val="auto"/>
          <w:sz w:val="24"/>
          <w:szCs w:val="24"/>
          <w:highlight w:val="none"/>
          <w:lang w:val="en-US"/>
        </w:rPr>
        <w:t>，本项目禁止转包和分包</w:t>
      </w:r>
      <w:r>
        <w:rPr>
          <w:rFonts w:hint="eastAsia" w:ascii="宋体" w:hAnsi="宋体" w:eastAsia="宋体" w:cs="宋体"/>
          <w:b/>
          <w:color w:val="auto"/>
          <w:sz w:val="24"/>
          <w:szCs w:val="24"/>
          <w:highlight w:val="none"/>
        </w:rPr>
        <w:t>。</w:t>
      </w:r>
      <w:bookmarkStart w:id="1" w:name="OLE_LINK3"/>
      <w:bookmarkStart w:id="2" w:name="OLE_LINK4"/>
      <w:r>
        <w:rPr>
          <w:rFonts w:hint="eastAsia" w:hAnsi="宋体" w:eastAsia="宋体" w:cs="宋体"/>
          <w:b/>
          <w:color w:val="auto"/>
          <w:sz w:val="24"/>
          <w:szCs w:val="24"/>
          <w:highlight w:val="none"/>
          <w:lang w:val="en-US" w:eastAsia="zh-CN"/>
        </w:rPr>
        <w:t>报名时，需提供《投标人声明》、《承诺函》及营业执照复印件、法定代表人授权书、当前服务期内的业绩证明及其他资质证明等材料。</w:t>
      </w:r>
      <w:bookmarkEnd w:id="1"/>
    </w:p>
    <w:bookmarkEnd w:id="2"/>
    <w:p>
      <w:pPr>
        <w:pStyle w:val="11"/>
        <w:ind w:right="105" w:firstLine="482"/>
        <w:rPr>
          <w:rFonts w:asciiTheme="majorEastAsia" w:hAnsiTheme="majorEastAsia" w:eastAsiaTheme="majorEastAsia" w:cstheme="majorEastAsia"/>
          <w:b/>
          <w:color w:val="auto"/>
          <w:sz w:val="24"/>
          <w:szCs w:val="24"/>
          <w:highlight w:val="none"/>
        </w:rPr>
      </w:pPr>
      <w:bookmarkStart w:id="3" w:name="OLE_LINK13"/>
      <w:r>
        <w:rPr>
          <w:rFonts w:hint="eastAsia" w:asciiTheme="majorEastAsia" w:hAnsiTheme="majorEastAsia" w:eastAsiaTheme="majorEastAsia" w:cstheme="majorEastAsia"/>
          <w:b/>
          <w:color w:val="auto"/>
          <w:sz w:val="24"/>
          <w:szCs w:val="24"/>
          <w:highlight w:val="none"/>
        </w:rPr>
        <w:t>七、</w:t>
      </w:r>
      <w:r>
        <w:rPr>
          <w:rFonts w:hint="eastAsia" w:asciiTheme="majorEastAsia" w:hAnsiTheme="majorEastAsia" w:eastAsiaTheme="majorEastAsia" w:cstheme="majorEastAsia"/>
          <w:b/>
          <w:color w:val="auto"/>
          <w:sz w:val="24"/>
          <w:szCs w:val="24"/>
          <w:highlight w:val="none"/>
          <w:lang w:val="en-US" w:eastAsia="zh-CN"/>
        </w:rPr>
        <w:t>报名</w:t>
      </w:r>
      <w:r>
        <w:rPr>
          <w:rFonts w:hint="eastAsia" w:asciiTheme="majorEastAsia" w:hAnsiTheme="majorEastAsia" w:eastAsiaTheme="majorEastAsia" w:cstheme="majorEastAsia"/>
          <w:b/>
          <w:color w:val="auto"/>
          <w:sz w:val="24"/>
          <w:szCs w:val="24"/>
          <w:highlight w:val="none"/>
        </w:rPr>
        <w:t>时间：</w:t>
      </w:r>
    </w:p>
    <w:p>
      <w:pPr>
        <w:pStyle w:val="44"/>
        <w:spacing w:line="360" w:lineRule="auto"/>
        <w:ind w:firstLine="480" w:firstLineChars="200"/>
        <w:rPr>
          <w:rFonts w:asciiTheme="majorEastAsia" w:hAnsiTheme="majorEastAsia" w:eastAsiaTheme="majorEastAsia" w:cstheme="majorEastAsia"/>
          <w:snapToGrid w:val="0"/>
          <w:color w:val="auto"/>
          <w:szCs w:val="24"/>
          <w:highlight w:val="none"/>
        </w:rPr>
      </w:pPr>
      <w:bookmarkStart w:id="4" w:name="OLE_LINK5"/>
      <w:r>
        <w:rPr>
          <w:rFonts w:hint="eastAsia" w:asciiTheme="majorEastAsia" w:hAnsiTheme="majorEastAsia" w:eastAsiaTheme="majorEastAsia" w:cstheme="majorEastAsia"/>
          <w:color w:val="auto"/>
          <w:szCs w:val="24"/>
          <w:highlight w:val="none"/>
          <w:lang w:val="zh-CN"/>
        </w:rPr>
        <w:t>自</w:t>
      </w:r>
      <w:bookmarkStart w:id="5" w:name="OLE_LINK7"/>
      <w:r>
        <w:rPr>
          <w:rFonts w:hint="eastAsia" w:asciiTheme="majorEastAsia" w:hAnsiTheme="majorEastAsia" w:eastAsiaTheme="majorEastAsia" w:cstheme="majorEastAsia"/>
          <w:color w:val="auto"/>
          <w:szCs w:val="24"/>
          <w:highlight w:val="none"/>
          <w:lang w:val="zh-CN"/>
        </w:rPr>
        <w:t>2025年</w:t>
      </w:r>
      <w:r>
        <w:rPr>
          <w:rFonts w:hint="eastAsia" w:asciiTheme="majorEastAsia" w:hAnsiTheme="majorEastAsia" w:eastAsiaTheme="majorEastAsia" w:cstheme="majorEastAsia"/>
          <w:color w:val="auto"/>
          <w:szCs w:val="24"/>
          <w:highlight w:val="none"/>
          <w:lang w:val="en-US" w:eastAsia="zh-CN"/>
        </w:rPr>
        <w:t>5</w:t>
      </w:r>
      <w:r>
        <w:rPr>
          <w:rFonts w:hint="eastAsia" w:asciiTheme="majorEastAsia" w:hAnsiTheme="majorEastAsia" w:eastAsiaTheme="majorEastAsia" w:cstheme="majorEastAsia"/>
          <w:color w:val="auto"/>
          <w:szCs w:val="24"/>
          <w:highlight w:val="none"/>
          <w:lang w:val="zh-CN"/>
        </w:rPr>
        <w:t>月</w:t>
      </w:r>
      <w:r>
        <w:rPr>
          <w:rFonts w:hint="eastAsia" w:asciiTheme="majorEastAsia" w:hAnsiTheme="majorEastAsia" w:eastAsiaTheme="majorEastAsia" w:cstheme="majorEastAsia"/>
          <w:color w:val="auto"/>
          <w:szCs w:val="24"/>
          <w:highlight w:val="none"/>
          <w:lang w:val="en-US" w:eastAsia="zh-CN"/>
        </w:rPr>
        <w:t>23</w:t>
      </w:r>
      <w:r>
        <w:rPr>
          <w:rFonts w:hint="eastAsia" w:asciiTheme="majorEastAsia" w:hAnsiTheme="majorEastAsia" w:eastAsiaTheme="majorEastAsia" w:cstheme="majorEastAsia"/>
          <w:color w:val="auto"/>
          <w:szCs w:val="24"/>
          <w:highlight w:val="none"/>
          <w:lang w:val="zh-CN"/>
        </w:rPr>
        <w:t>日</w:t>
      </w:r>
      <w:r>
        <w:rPr>
          <w:rFonts w:hint="eastAsia" w:asciiTheme="majorEastAsia" w:hAnsiTheme="majorEastAsia" w:eastAsiaTheme="majorEastAsia" w:cstheme="majorEastAsia"/>
          <w:color w:val="auto"/>
          <w:szCs w:val="24"/>
          <w:highlight w:val="none"/>
          <w:lang w:val="en-US" w:eastAsia="zh-CN"/>
        </w:rPr>
        <w:t>14</w:t>
      </w:r>
      <w:bookmarkStart w:id="30" w:name="_GoBack"/>
      <w:bookmarkEnd w:id="30"/>
      <w:r>
        <w:rPr>
          <w:rFonts w:hint="eastAsia" w:asciiTheme="majorEastAsia" w:hAnsiTheme="majorEastAsia" w:eastAsiaTheme="majorEastAsia" w:cstheme="majorEastAsia"/>
          <w:color w:val="auto"/>
          <w:szCs w:val="24"/>
          <w:highlight w:val="none"/>
          <w:lang w:val="zh-CN"/>
        </w:rPr>
        <w:t>:00时（节假日</w:t>
      </w:r>
      <w:r>
        <w:rPr>
          <w:rFonts w:hint="eastAsia" w:asciiTheme="majorEastAsia" w:hAnsiTheme="majorEastAsia" w:eastAsiaTheme="majorEastAsia" w:cstheme="majorEastAsia"/>
          <w:color w:val="auto"/>
          <w:szCs w:val="24"/>
          <w:highlight w:val="none"/>
          <w:lang w:val="en-US" w:eastAsia="zh-CN"/>
        </w:rPr>
        <w:t>正常上班</w:t>
      </w:r>
      <w:r>
        <w:rPr>
          <w:rFonts w:hint="eastAsia" w:asciiTheme="majorEastAsia" w:hAnsiTheme="majorEastAsia" w:eastAsiaTheme="majorEastAsia" w:cstheme="majorEastAsia"/>
          <w:color w:val="auto"/>
          <w:szCs w:val="24"/>
          <w:highlight w:val="none"/>
          <w:lang w:val="zh-CN"/>
        </w:rPr>
        <w:t>）</w:t>
      </w:r>
      <w:bookmarkEnd w:id="5"/>
      <w:r>
        <w:rPr>
          <w:rFonts w:hint="eastAsia" w:asciiTheme="majorEastAsia" w:hAnsiTheme="majorEastAsia" w:eastAsiaTheme="majorEastAsia" w:cstheme="majorEastAsia"/>
          <w:color w:val="auto"/>
          <w:szCs w:val="24"/>
          <w:highlight w:val="none"/>
          <w:lang w:val="en-US" w:eastAsia="zh-CN"/>
        </w:rPr>
        <w:t>至</w:t>
      </w:r>
      <w:r>
        <w:rPr>
          <w:rFonts w:hint="eastAsia" w:asciiTheme="majorEastAsia" w:hAnsiTheme="majorEastAsia" w:eastAsiaTheme="majorEastAsia" w:cstheme="majorEastAsia"/>
          <w:snapToGrid w:val="0"/>
          <w:color w:val="auto"/>
          <w:szCs w:val="24"/>
          <w:highlight w:val="none"/>
        </w:rPr>
        <w:t>2025</w:t>
      </w:r>
      <w:r>
        <w:rPr>
          <w:rFonts w:hint="eastAsia" w:asciiTheme="majorEastAsia" w:hAnsiTheme="majorEastAsia" w:eastAsiaTheme="majorEastAsia" w:cstheme="majorEastAsia"/>
          <w:color w:val="auto"/>
          <w:szCs w:val="24"/>
          <w:highlight w:val="none"/>
          <w:lang w:val="en-US" w:eastAsia="zh-CN"/>
        </w:rPr>
        <w:t>年5月27日10时00分（</w:t>
      </w:r>
      <w:r>
        <w:rPr>
          <w:rFonts w:hint="eastAsia" w:asciiTheme="majorEastAsia" w:hAnsiTheme="majorEastAsia" w:eastAsiaTheme="majorEastAsia" w:cstheme="majorEastAsia"/>
          <w:snapToGrid w:val="0"/>
          <w:color w:val="auto"/>
          <w:szCs w:val="24"/>
          <w:highlight w:val="none"/>
        </w:rPr>
        <w:t>北京时间）</w:t>
      </w:r>
      <w:r>
        <w:rPr>
          <w:rFonts w:hint="eastAsia" w:asciiTheme="majorEastAsia" w:hAnsiTheme="majorEastAsia" w:eastAsiaTheme="majorEastAsia" w:cstheme="majorEastAsia"/>
          <w:color w:val="auto"/>
          <w:szCs w:val="24"/>
          <w:highlight w:val="none"/>
          <w:lang w:val="zh-CN"/>
        </w:rPr>
        <w:t>。</w:t>
      </w:r>
    </w:p>
    <w:p>
      <w:pPr>
        <w:pStyle w:val="44"/>
        <w:spacing w:line="360" w:lineRule="auto"/>
        <w:ind w:firstLine="480" w:firstLineChars="200"/>
        <w:rPr>
          <w:rFonts w:asciiTheme="majorEastAsia" w:hAnsiTheme="majorEastAsia" w:eastAsiaTheme="majorEastAsia" w:cstheme="majorEastAsia"/>
          <w:snapToGrid w:val="0"/>
          <w:color w:val="auto"/>
          <w:szCs w:val="24"/>
          <w:highlight w:val="none"/>
          <w:u w:val="single"/>
        </w:rPr>
      </w:pPr>
      <w:r>
        <w:rPr>
          <w:rFonts w:hint="eastAsia" w:asciiTheme="majorEastAsia" w:hAnsiTheme="majorEastAsia" w:eastAsiaTheme="majorEastAsia" w:cstheme="majorEastAsia"/>
          <w:b/>
          <w:bCs/>
          <w:snapToGrid w:val="0"/>
          <w:color w:val="auto"/>
          <w:szCs w:val="24"/>
          <w:highlight w:val="none"/>
        </w:rPr>
        <w:t>八、</w:t>
      </w:r>
      <w:r>
        <w:rPr>
          <w:rFonts w:hint="eastAsia" w:asciiTheme="majorEastAsia" w:hAnsiTheme="majorEastAsia" w:eastAsiaTheme="majorEastAsia" w:cstheme="majorEastAsia"/>
          <w:b/>
          <w:bCs/>
          <w:snapToGrid w:val="0"/>
          <w:color w:val="auto"/>
          <w:szCs w:val="24"/>
          <w:highlight w:val="none"/>
          <w:lang w:val="en-US" w:eastAsia="zh-CN"/>
        </w:rPr>
        <w:t>资格审查</w:t>
      </w:r>
      <w:bookmarkStart w:id="6" w:name="OLE_LINK1"/>
      <w:r>
        <w:rPr>
          <w:rFonts w:hint="eastAsia" w:asciiTheme="majorEastAsia" w:hAnsiTheme="majorEastAsia" w:eastAsiaTheme="majorEastAsia" w:cstheme="majorEastAsia"/>
          <w:b/>
          <w:bCs/>
          <w:snapToGrid w:val="0"/>
          <w:color w:val="auto"/>
          <w:szCs w:val="24"/>
          <w:highlight w:val="none"/>
          <w:lang w:val="en-US" w:eastAsia="zh-CN"/>
        </w:rPr>
        <w:t>及对投标单位考察</w:t>
      </w:r>
      <w:bookmarkEnd w:id="6"/>
      <w:r>
        <w:rPr>
          <w:rFonts w:hint="eastAsia" w:asciiTheme="majorEastAsia" w:hAnsiTheme="majorEastAsia" w:eastAsiaTheme="majorEastAsia" w:cstheme="majorEastAsia"/>
          <w:b/>
          <w:bCs/>
          <w:snapToGrid w:val="0"/>
          <w:color w:val="auto"/>
          <w:szCs w:val="24"/>
          <w:highlight w:val="none"/>
          <w:lang w:val="en-US" w:eastAsia="zh-CN"/>
        </w:rPr>
        <w:t>时间</w:t>
      </w:r>
      <w:r>
        <w:rPr>
          <w:rFonts w:hint="eastAsia" w:asciiTheme="majorEastAsia" w:hAnsiTheme="majorEastAsia" w:eastAsiaTheme="majorEastAsia" w:cstheme="majorEastAsia"/>
          <w:snapToGrid w:val="0"/>
          <w:color w:val="auto"/>
          <w:szCs w:val="24"/>
          <w:highlight w:val="none"/>
        </w:rPr>
        <w:t>：</w:t>
      </w:r>
      <w:r>
        <w:rPr>
          <w:rFonts w:hint="eastAsia" w:asciiTheme="majorEastAsia" w:hAnsiTheme="majorEastAsia" w:eastAsiaTheme="majorEastAsia" w:cstheme="majorEastAsia"/>
          <w:color w:val="auto"/>
          <w:szCs w:val="24"/>
          <w:highlight w:val="none"/>
          <w:lang w:val="zh-CN"/>
        </w:rPr>
        <w:t>2025年</w:t>
      </w:r>
      <w:r>
        <w:rPr>
          <w:rFonts w:hint="eastAsia" w:asciiTheme="majorEastAsia" w:hAnsiTheme="majorEastAsia" w:eastAsiaTheme="majorEastAsia" w:cstheme="majorEastAsia"/>
          <w:color w:val="auto"/>
          <w:szCs w:val="24"/>
          <w:highlight w:val="none"/>
          <w:lang w:val="en-US" w:eastAsia="zh-CN"/>
        </w:rPr>
        <w:t>5</w:t>
      </w:r>
      <w:r>
        <w:rPr>
          <w:rFonts w:hint="eastAsia" w:asciiTheme="majorEastAsia" w:hAnsiTheme="majorEastAsia" w:eastAsiaTheme="majorEastAsia" w:cstheme="majorEastAsia"/>
          <w:color w:val="auto"/>
          <w:szCs w:val="24"/>
          <w:highlight w:val="none"/>
          <w:lang w:val="zh-CN"/>
        </w:rPr>
        <w:t>月</w:t>
      </w:r>
      <w:r>
        <w:rPr>
          <w:rFonts w:hint="eastAsia" w:asciiTheme="majorEastAsia" w:hAnsiTheme="majorEastAsia" w:eastAsiaTheme="majorEastAsia" w:cstheme="majorEastAsia"/>
          <w:color w:val="auto"/>
          <w:szCs w:val="24"/>
          <w:highlight w:val="none"/>
          <w:lang w:val="en-US" w:eastAsia="zh-CN"/>
        </w:rPr>
        <w:t>27</w:t>
      </w:r>
      <w:r>
        <w:rPr>
          <w:rFonts w:hint="eastAsia" w:asciiTheme="majorEastAsia" w:hAnsiTheme="majorEastAsia" w:eastAsiaTheme="majorEastAsia" w:cstheme="majorEastAsia"/>
          <w:color w:val="auto"/>
          <w:szCs w:val="24"/>
          <w:highlight w:val="none"/>
          <w:lang w:val="zh-CN"/>
        </w:rPr>
        <w:t>日</w:t>
      </w:r>
      <w:r>
        <w:rPr>
          <w:rFonts w:hint="eastAsia" w:asciiTheme="majorEastAsia" w:hAnsiTheme="majorEastAsia" w:eastAsiaTheme="majorEastAsia" w:cstheme="majorEastAsia"/>
          <w:color w:val="auto"/>
          <w:szCs w:val="24"/>
          <w:highlight w:val="none"/>
          <w:lang w:val="en-US" w:eastAsia="zh-CN"/>
        </w:rPr>
        <w:t>14</w:t>
      </w:r>
      <w:r>
        <w:rPr>
          <w:rFonts w:hint="eastAsia" w:asciiTheme="majorEastAsia" w:hAnsiTheme="majorEastAsia" w:eastAsiaTheme="majorEastAsia" w:cstheme="majorEastAsia"/>
          <w:color w:val="auto"/>
          <w:szCs w:val="24"/>
          <w:highlight w:val="none"/>
          <w:lang w:val="zh-CN"/>
        </w:rPr>
        <w:t>:00时</w:t>
      </w:r>
      <w:r>
        <w:rPr>
          <w:rFonts w:hint="eastAsia" w:asciiTheme="majorEastAsia" w:hAnsiTheme="majorEastAsia" w:eastAsiaTheme="majorEastAsia" w:cstheme="majorEastAsia"/>
          <w:color w:val="auto"/>
          <w:szCs w:val="24"/>
          <w:highlight w:val="none"/>
          <w:lang w:val="en-US" w:eastAsia="zh-CN"/>
        </w:rPr>
        <w:t>至</w:t>
      </w:r>
      <w:r>
        <w:rPr>
          <w:rFonts w:hint="eastAsia" w:asciiTheme="majorEastAsia" w:hAnsiTheme="majorEastAsia" w:eastAsiaTheme="majorEastAsia" w:cstheme="majorEastAsia"/>
          <w:snapToGrid w:val="0"/>
          <w:color w:val="auto"/>
          <w:szCs w:val="24"/>
          <w:highlight w:val="none"/>
        </w:rPr>
        <w:t>2025</w:t>
      </w:r>
      <w:r>
        <w:rPr>
          <w:rFonts w:hint="eastAsia" w:asciiTheme="majorEastAsia" w:hAnsiTheme="majorEastAsia" w:eastAsiaTheme="majorEastAsia" w:cstheme="majorEastAsia"/>
          <w:color w:val="auto"/>
          <w:szCs w:val="24"/>
          <w:highlight w:val="none"/>
          <w:lang w:val="en-US" w:eastAsia="zh-CN"/>
        </w:rPr>
        <w:t>年5月30日12时00分（</w:t>
      </w:r>
      <w:r>
        <w:rPr>
          <w:rFonts w:hint="eastAsia" w:asciiTheme="majorEastAsia" w:hAnsiTheme="majorEastAsia" w:eastAsiaTheme="majorEastAsia" w:cstheme="majorEastAsia"/>
          <w:snapToGrid w:val="0"/>
          <w:color w:val="auto"/>
          <w:szCs w:val="24"/>
          <w:highlight w:val="none"/>
        </w:rPr>
        <w:t>北京时间）。</w:t>
      </w:r>
    </w:p>
    <w:p>
      <w:pPr>
        <w:pStyle w:val="69"/>
        <w:ind w:right="105" w:firstLine="482"/>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b/>
          <w:bCs/>
          <w:snapToGrid w:val="0"/>
          <w:color w:val="auto"/>
          <w:sz w:val="24"/>
          <w:szCs w:val="24"/>
          <w:highlight w:val="none"/>
        </w:rPr>
        <w:t>九、投标</w:t>
      </w:r>
      <w:r>
        <w:rPr>
          <w:rFonts w:hint="eastAsia" w:asciiTheme="majorEastAsia" w:hAnsiTheme="majorEastAsia" w:eastAsiaTheme="majorEastAsia" w:cstheme="majorEastAsia"/>
          <w:b/>
          <w:bCs/>
          <w:snapToGrid w:val="0"/>
          <w:color w:val="auto"/>
          <w:sz w:val="24"/>
          <w:szCs w:val="24"/>
          <w:highlight w:val="none"/>
          <w:lang w:val="en-US" w:eastAsia="zh-CN"/>
        </w:rPr>
        <w:t>文件</w:t>
      </w:r>
      <w:r>
        <w:rPr>
          <w:rFonts w:hint="eastAsia" w:asciiTheme="majorEastAsia" w:hAnsiTheme="majorEastAsia" w:eastAsiaTheme="majorEastAsia" w:cstheme="majorEastAsia"/>
          <w:b/>
          <w:bCs/>
          <w:snapToGrid w:val="0"/>
          <w:color w:val="auto"/>
          <w:sz w:val="24"/>
          <w:szCs w:val="24"/>
          <w:highlight w:val="none"/>
        </w:rPr>
        <w:t>截止时间</w:t>
      </w:r>
      <w:r>
        <w:rPr>
          <w:rFonts w:hint="eastAsia" w:asciiTheme="majorEastAsia" w:hAnsiTheme="majorEastAsia" w:eastAsiaTheme="majorEastAsia" w:cstheme="majorEastAsia"/>
          <w:snapToGrid w:val="0"/>
          <w:color w:val="auto"/>
          <w:sz w:val="24"/>
          <w:szCs w:val="24"/>
          <w:highlight w:val="none"/>
        </w:rPr>
        <w:t>：2025年</w:t>
      </w:r>
      <w:r>
        <w:rPr>
          <w:rFonts w:hint="eastAsia" w:asciiTheme="majorEastAsia" w:hAnsiTheme="majorEastAsia" w:eastAsiaTheme="majorEastAsia" w:cstheme="majorEastAsia"/>
          <w:color w:val="auto"/>
          <w:kern w:val="0"/>
          <w:sz w:val="24"/>
          <w:szCs w:val="24"/>
          <w:highlight w:val="none"/>
          <w:lang w:val="en-US" w:eastAsia="zh-CN" w:bidi="ar-SA"/>
        </w:rPr>
        <w:t xml:space="preserve"> 6 月 10日10时00 分</w:t>
      </w:r>
      <w:r>
        <w:rPr>
          <w:rFonts w:hint="eastAsia" w:asciiTheme="majorEastAsia" w:hAnsiTheme="majorEastAsia" w:eastAsiaTheme="majorEastAsia" w:cstheme="majorEastAsia"/>
          <w:snapToGrid w:val="0"/>
          <w:color w:val="auto"/>
          <w:sz w:val="24"/>
          <w:szCs w:val="24"/>
          <w:highlight w:val="none"/>
        </w:rPr>
        <w:t>（北京时间）。投标文件必须在投标截止时间前送达开标地点。逾期送达的投标文件不予接收。</w:t>
      </w:r>
      <w:bookmarkEnd w:id="3"/>
      <w:bookmarkEnd w:id="4"/>
    </w:p>
    <w:p>
      <w:pPr>
        <w:pStyle w:val="69"/>
        <w:ind w:right="105" w:firstLine="482"/>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b/>
          <w:bCs/>
          <w:snapToGrid w:val="0"/>
          <w:color w:val="auto"/>
          <w:sz w:val="24"/>
          <w:szCs w:val="24"/>
          <w:highlight w:val="none"/>
        </w:rPr>
        <w:t>十、投标文件原件正本、副本、电子文档送达（可邮寄）：</w:t>
      </w:r>
    </w:p>
    <w:p>
      <w:pPr>
        <w:pStyle w:val="69"/>
        <w:ind w:right="105" w:firstLine="480"/>
        <w:rPr>
          <w:rFonts w:hint="eastAsia" w:asciiTheme="majorEastAsia" w:hAnsiTheme="majorEastAsia" w:eastAsiaTheme="majorEastAsia" w:cstheme="majorEastAsia"/>
          <w:color w:val="auto"/>
          <w:kern w:val="0"/>
          <w:sz w:val="24"/>
          <w:szCs w:val="24"/>
          <w:highlight w:val="none"/>
          <w:lang w:val="en-US" w:eastAsia="zh-CN" w:bidi="ar-SA"/>
        </w:rPr>
      </w:pPr>
      <w:r>
        <w:rPr>
          <w:rFonts w:hint="eastAsia" w:asciiTheme="majorEastAsia" w:hAnsiTheme="majorEastAsia" w:eastAsiaTheme="majorEastAsia" w:cstheme="majorEastAsia"/>
          <w:snapToGrid w:val="0"/>
          <w:color w:val="auto"/>
          <w:sz w:val="24"/>
          <w:szCs w:val="24"/>
          <w:highlight w:val="none"/>
        </w:rPr>
        <w:t>1、送达地址：</w:t>
      </w:r>
      <w:r>
        <w:rPr>
          <w:rFonts w:hint="eastAsia" w:asciiTheme="majorEastAsia" w:hAnsiTheme="majorEastAsia" w:eastAsiaTheme="majorEastAsia" w:cstheme="majorEastAsia"/>
          <w:color w:val="auto"/>
          <w:kern w:val="0"/>
          <w:sz w:val="24"/>
          <w:szCs w:val="24"/>
          <w:highlight w:val="none"/>
          <w:lang w:val="en-US" w:eastAsia="zh-CN" w:bidi="ar-SA"/>
        </w:rPr>
        <w:t>四川省绵阳市涪城区科创园区财元路6号（东辰集团四楼行政人事部）</w:t>
      </w:r>
    </w:p>
    <w:p>
      <w:pPr>
        <w:pStyle w:val="69"/>
        <w:ind w:right="105" w:firstLine="480"/>
        <w:rPr>
          <w:rFonts w:hint="default" w:asciiTheme="majorEastAsia" w:hAnsiTheme="majorEastAsia" w:eastAsiaTheme="majorEastAsia" w:cstheme="majorEastAsia"/>
          <w:color w:val="auto"/>
          <w:kern w:val="0"/>
          <w:sz w:val="24"/>
          <w:szCs w:val="24"/>
          <w:highlight w:val="none"/>
          <w:lang w:val="en-US" w:eastAsia="zh-CN" w:bidi="ar-SA"/>
        </w:rPr>
      </w:pPr>
      <w:r>
        <w:rPr>
          <w:rFonts w:hint="eastAsia" w:asciiTheme="majorEastAsia" w:hAnsiTheme="majorEastAsia" w:eastAsiaTheme="majorEastAsia" w:cstheme="majorEastAsia"/>
          <w:color w:val="auto"/>
          <w:kern w:val="0"/>
          <w:sz w:val="24"/>
          <w:szCs w:val="24"/>
          <w:highlight w:val="none"/>
          <w:lang w:val="en-US" w:eastAsia="zh-CN" w:bidi="ar-SA"/>
        </w:rPr>
        <w:t>2、送达联系电话：</w:t>
      </w:r>
      <w:bookmarkStart w:id="7" w:name="OLE_LINK2"/>
      <w:r>
        <w:rPr>
          <w:rFonts w:hint="eastAsia" w:asciiTheme="majorEastAsia" w:hAnsiTheme="majorEastAsia" w:eastAsiaTheme="majorEastAsia" w:cstheme="majorEastAsia"/>
          <w:color w:val="auto"/>
          <w:kern w:val="0"/>
          <w:sz w:val="24"/>
          <w:szCs w:val="24"/>
          <w:highlight w:val="none"/>
          <w:lang w:val="en-US" w:eastAsia="zh-CN" w:bidi="ar-SA"/>
        </w:rPr>
        <w:t>0816-2366182</w:t>
      </w:r>
      <w:bookmarkEnd w:id="7"/>
      <w:r>
        <w:rPr>
          <w:rFonts w:hint="eastAsia" w:asciiTheme="majorEastAsia" w:hAnsiTheme="majorEastAsia" w:eastAsiaTheme="majorEastAsia" w:cstheme="majorEastAsia"/>
          <w:color w:val="auto"/>
          <w:kern w:val="0"/>
          <w:sz w:val="24"/>
          <w:szCs w:val="24"/>
          <w:highlight w:val="none"/>
          <w:lang w:val="en-US" w:eastAsia="zh-CN" w:bidi="ar-SA"/>
        </w:rPr>
        <w:t>、18681690134</w:t>
      </w:r>
    </w:p>
    <w:p>
      <w:pPr>
        <w:pStyle w:val="69"/>
        <w:ind w:right="105" w:firstLine="480"/>
        <w:rPr>
          <w:rFonts w:hint="default" w:asciiTheme="majorEastAsia" w:hAnsiTheme="majorEastAsia" w:eastAsiaTheme="majorEastAsia" w:cstheme="majorEastAsia"/>
          <w:color w:val="auto"/>
          <w:kern w:val="0"/>
          <w:sz w:val="24"/>
          <w:szCs w:val="24"/>
          <w:highlight w:val="none"/>
          <w:lang w:val="en-US" w:eastAsia="zh-CN" w:bidi="ar-SA"/>
        </w:rPr>
      </w:pPr>
      <w:r>
        <w:rPr>
          <w:rFonts w:hint="eastAsia" w:asciiTheme="majorEastAsia" w:hAnsiTheme="majorEastAsia" w:eastAsiaTheme="majorEastAsia" w:cstheme="majorEastAsia"/>
          <w:color w:val="auto"/>
          <w:kern w:val="0"/>
          <w:sz w:val="24"/>
          <w:szCs w:val="24"/>
          <w:highlight w:val="none"/>
          <w:lang w:val="en-US" w:eastAsia="zh-CN" w:bidi="ar-SA"/>
        </w:rPr>
        <w:t>3、送达联系人：刘先生</w:t>
      </w:r>
    </w:p>
    <w:p>
      <w:pPr>
        <w:pStyle w:val="69"/>
        <w:ind w:right="105" w:firstLine="482"/>
        <w:rPr>
          <w:rFonts w:asciiTheme="majorEastAsia" w:hAnsiTheme="majorEastAsia" w:eastAsiaTheme="majorEastAsia" w:cstheme="majorEastAsia"/>
          <w:snapToGrid w:val="0"/>
          <w:color w:val="auto"/>
          <w:kern w:val="0"/>
          <w:sz w:val="24"/>
          <w:szCs w:val="24"/>
          <w:highlight w:val="none"/>
        </w:rPr>
      </w:pPr>
      <w:r>
        <w:rPr>
          <w:rFonts w:hint="eastAsia" w:asciiTheme="majorEastAsia" w:hAnsiTheme="majorEastAsia" w:eastAsiaTheme="majorEastAsia" w:cstheme="majorEastAsia"/>
          <w:b/>
          <w:snapToGrid w:val="0"/>
          <w:color w:val="auto"/>
          <w:sz w:val="24"/>
          <w:szCs w:val="24"/>
          <w:highlight w:val="none"/>
        </w:rPr>
        <w:t>十</w:t>
      </w:r>
      <w:bookmarkStart w:id="8" w:name="_Hlk167789997"/>
      <w:r>
        <w:rPr>
          <w:rFonts w:hint="eastAsia" w:asciiTheme="majorEastAsia" w:hAnsiTheme="majorEastAsia" w:eastAsiaTheme="majorEastAsia" w:cstheme="majorEastAsia"/>
          <w:b/>
          <w:snapToGrid w:val="0"/>
          <w:color w:val="auto"/>
          <w:sz w:val="24"/>
          <w:szCs w:val="24"/>
          <w:highlight w:val="none"/>
        </w:rPr>
        <w:t>一、</w:t>
      </w:r>
      <w:bookmarkEnd w:id="8"/>
      <w:r>
        <w:rPr>
          <w:rFonts w:hint="eastAsia" w:asciiTheme="majorEastAsia" w:hAnsiTheme="majorEastAsia" w:eastAsiaTheme="majorEastAsia" w:cstheme="majorEastAsia"/>
          <w:b/>
          <w:snapToGrid w:val="0"/>
          <w:color w:val="auto"/>
          <w:sz w:val="24"/>
          <w:szCs w:val="24"/>
          <w:highlight w:val="none"/>
        </w:rPr>
        <w:t>开标时间：</w:t>
      </w:r>
      <w:r>
        <w:rPr>
          <w:rFonts w:hint="eastAsia" w:asciiTheme="majorEastAsia" w:hAnsiTheme="majorEastAsia" w:eastAsiaTheme="majorEastAsia" w:cstheme="majorEastAsia"/>
          <w:snapToGrid w:val="0"/>
          <w:color w:val="auto"/>
          <w:kern w:val="0"/>
          <w:sz w:val="24"/>
          <w:szCs w:val="24"/>
          <w:highlight w:val="none"/>
        </w:rPr>
        <w:t>2025年</w:t>
      </w:r>
      <w:r>
        <w:rPr>
          <w:rFonts w:hint="eastAsia" w:asciiTheme="majorEastAsia" w:hAnsiTheme="majorEastAsia" w:eastAsiaTheme="majorEastAsia" w:cstheme="majorEastAsia"/>
          <w:snapToGrid w:val="0"/>
          <w:color w:val="auto"/>
          <w:kern w:val="0"/>
          <w:sz w:val="24"/>
          <w:szCs w:val="24"/>
          <w:highlight w:val="none"/>
          <w:lang w:val="en-US" w:eastAsia="zh-CN"/>
        </w:rPr>
        <w:t>6</w:t>
      </w:r>
      <w:r>
        <w:rPr>
          <w:rFonts w:hint="eastAsia" w:asciiTheme="majorEastAsia" w:hAnsiTheme="majorEastAsia" w:eastAsiaTheme="majorEastAsia" w:cstheme="majorEastAsia"/>
          <w:color w:val="auto"/>
          <w:kern w:val="0"/>
          <w:sz w:val="24"/>
          <w:szCs w:val="24"/>
          <w:highlight w:val="none"/>
          <w:lang w:val="en-US" w:eastAsia="zh-CN" w:bidi="ar-SA"/>
        </w:rPr>
        <w:t>月10日14时30分（北</w:t>
      </w:r>
      <w:r>
        <w:rPr>
          <w:rFonts w:hint="eastAsia" w:asciiTheme="majorEastAsia" w:hAnsiTheme="majorEastAsia" w:eastAsiaTheme="majorEastAsia" w:cstheme="majorEastAsia"/>
          <w:snapToGrid w:val="0"/>
          <w:color w:val="auto"/>
          <w:kern w:val="0"/>
          <w:sz w:val="24"/>
          <w:szCs w:val="24"/>
          <w:highlight w:val="none"/>
        </w:rPr>
        <w:t>京时间）。</w:t>
      </w:r>
    </w:p>
    <w:p>
      <w:pPr>
        <w:pStyle w:val="69"/>
        <w:ind w:right="105" w:firstLine="482"/>
        <w:rPr>
          <w:rFonts w:hint="eastAsia" w:asciiTheme="majorEastAsia" w:hAnsiTheme="majorEastAsia" w:eastAsiaTheme="majorEastAsia" w:cstheme="majorEastAsia"/>
          <w:color w:val="auto"/>
          <w:kern w:val="0"/>
          <w:sz w:val="24"/>
          <w:szCs w:val="24"/>
          <w:highlight w:val="none"/>
          <w:lang w:val="en-US" w:eastAsia="zh-CN" w:bidi="ar-SA"/>
        </w:rPr>
      </w:pPr>
      <w:r>
        <w:rPr>
          <w:rFonts w:hint="eastAsia" w:asciiTheme="majorEastAsia" w:hAnsiTheme="majorEastAsia" w:eastAsiaTheme="majorEastAsia" w:cstheme="majorEastAsia"/>
          <w:b/>
          <w:snapToGrid w:val="0"/>
          <w:color w:val="auto"/>
          <w:sz w:val="24"/>
          <w:szCs w:val="24"/>
          <w:highlight w:val="none"/>
        </w:rPr>
        <w:t>十二、开标地点：</w:t>
      </w:r>
      <w:r>
        <w:rPr>
          <w:rFonts w:hint="eastAsia" w:asciiTheme="majorEastAsia" w:hAnsiTheme="majorEastAsia" w:eastAsiaTheme="majorEastAsia" w:cstheme="majorEastAsia"/>
          <w:color w:val="auto"/>
          <w:kern w:val="0"/>
          <w:sz w:val="24"/>
          <w:szCs w:val="24"/>
          <w:highlight w:val="none"/>
          <w:lang w:val="en-US" w:eastAsia="zh-CN" w:bidi="ar-SA"/>
        </w:rPr>
        <w:t>四川省绵阳市涪城区科创园区财元路6号（东辰集团四楼会议室）</w:t>
      </w:r>
    </w:p>
    <w:p>
      <w:pPr>
        <w:snapToGrid w:val="0"/>
        <w:ind w:left="-5" w:right="105" w:firstLine="482"/>
        <w:rPr>
          <w:rFonts w:asciiTheme="majorEastAsia" w:hAnsiTheme="majorEastAsia" w:eastAsiaTheme="majorEastAsia" w:cstheme="majorEastAsia"/>
          <w:b/>
          <w:snapToGrid w:val="0"/>
          <w:color w:val="auto"/>
          <w:sz w:val="24"/>
          <w:szCs w:val="24"/>
          <w:highlight w:val="none"/>
        </w:rPr>
      </w:pPr>
      <w:r>
        <w:rPr>
          <w:rFonts w:hint="eastAsia" w:asciiTheme="majorEastAsia" w:hAnsiTheme="majorEastAsia" w:eastAsiaTheme="majorEastAsia" w:cstheme="majorEastAsia"/>
          <w:b/>
          <w:snapToGrid w:val="0"/>
          <w:color w:val="auto"/>
          <w:sz w:val="24"/>
          <w:szCs w:val="24"/>
          <w:highlight w:val="none"/>
        </w:rPr>
        <w:t>十三、招标人联系方式：</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Cs/>
          <w:color w:val="auto"/>
          <w:sz w:val="24"/>
          <w:szCs w:val="24"/>
          <w:highlight w:val="none"/>
        </w:rPr>
        <w:t>地  址：</w:t>
      </w:r>
      <w:r>
        <w:rPr>
          <w:rFonts w:hint="eastAsia" w:asciiTheme="majorEastAsia" w:hAnsiTheme="majorEastAsia" w:eastAsiaTheme="majorEastAsia" w:cstheme="majorEastAsia"/>
          <w:color w:val="auto"/>
          <w:sz w:val="24"/>
          <w:szCs w:val="24"/>
          <w:highlight w:val="none"/>
          <w:lang w:val="en-US" w:eastAsia="zh-CN" w:bidi="ar-SA"/>
        </w:rPr>
        <w:t>四川省绵阳市涪城区科创园区财元路6号（东辰集团四楼行政人事部）</w:t>
      </w:r>
    </w:p>
    <w:p>
      <w:pPr>
        <w:ind w:right="105" w:firstLine="480"/>
        <w:rPr>
          <w:rFonts w:hint="default" w:asciiTheme="majorEastAsia" w:hAnsiTheme="majorEastAsia" w:eastAsiaTheme="majorEastAsia" w:cstheme="majorEastAsia"/>
          <w:color w:val="auto"/>
          <w:sz w:val="24"/>
          <w:szCs w:val="24"/>
          <w:highlight w:val="none"/>
          <w:lang w:val="en-US" w:eastAsia="zh-CN" w:bidi="ar-SA"/>
        </w:rPr>
      </w:pPr>
      <w:r>
        <w:rPr>
          <w:rFonts w:hint="eastAsia" w:asciiTheme="majorEastAsia" w:hAnsiTheme="majorEastAsia" w:eastAsiaTheme="majorEastAsia" w:cstheme="majorEastAsia"/>
          <w:color w:val="auto"/>
          <w:sz w:val="24"/>
          <w:szCs w:val="24"/>
          <w:highlight w:val="none"/>
        </w:rPr>
        <w:t>联系人：</w:t>
      </w:r>
      <w:r>
        <w:rPr>
          <w:rFonts w:hint="eastAsia" w:asciiTheme="majorEastAsia" w:hAnsiTheme="majorEastAsia" w:eastAsiaTheme="majorEastAsia" w:cstheme="majorEastAsia"/>
          <w:color w:val="auto"/>
          <w:sz w:val="24"/>
          <w:szCs w:val="24"/>
          <w:highlight w:val="none"/>
          <w:lang w:val="en-US" w:eastAsia="zh-CN" w:bidi="ar-SA"/>
        </w:rPr>
        <w:t>刘先生</w:t>
      </w:r>
    </w:p>
    <w:p>
      <w:pPr>
        <w:ind w:right="105" w:firstLine="480"/>
        <w:rPr>
          <w:rFonts w:hint="default" w:asciiTheme="majorEastAsia" w:hAnsiTheme="majorEastAsia" w:eastAsiaTheme="majorEastAsia" w:cstheme="majorEastAsia"/>
          <w:color w:val="auto"/>
          <w:sz w:val="24"/>
          <w:szCs w:val="24"/>
          <w:highlight w:val="none"/>
          <w:lang w:val="en-US" w:eastAsia="zh-CN" w:bidi="ar-SA"/>
        </w:rPr>
      </w:pPr>
      <w:r>
        <w:rPr>
          <w:rFonts w:hint="eastAsia" w:asciiTheme="majorEastAsia" w:hAnsiTheme="majorEastAsia" w:eastAsiaTheme="majorEastAsia" w:cstheme="majorEastAsia"/>
          <w:color w:val="auto"/>
          <w:sz w:val="24"/>
          <w:szCs w:val="24"/>
          <w:highlight w:val="none"/>
        </w:rPr>
        <w:t>联系电话：</w:t>
      </w:r>
      <w:r>
        <w:rPr>
          <w:rFonts w:hint="eastAsia" w:asciiTheme="majorEastAsia" w:hAnsiTheme="majorEastAsia" w:eastAsiaTheme="majorEastAsia" w:cstheme="majorEastAsia"/>
          <w:color w:val="auto"/>
          <w:kern w:val="0"/>
          <w:sz w:val="24"/>
          <w:szCs w:val="24"/>
          <w:highlight w:val="none"/>
          <w:lang w:val="en-US" w:eastAsia="zh-CN" w:bidi="ar-SA"/>
        </w:rPr>
        <w:t>0816-2366182、</w:t>
      </w:r>
      <w:r>
        <w:rPr>
          <w:rFonts w:hint="eastAsia" w:asciiTheme="majorEastAsia" w:hAnsiTheme="majorEastAsia" w:eastAsiaTheme="majorEastAsia" w:cstheme="majorEastAsia"/>
          <w:color w:val="auto"/>
          <w:sz w:val="24"/>
          <w:szCs w:val="24"/>
          <w:highlight w:val="none"/>
          <w:lang w:val="en-US" w:eastAsia="zh-CN" w:bidi="ar-SA"/>
        </w:rPr>
        <w:t>18681690134</w:t>
      </w: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480"/>
        <w:rPr>
          <w:rFonts w:asciiTheme="majorEastAsia" w:hAnsiTheme="majorEastAsia" w:eastAsiaTheme="majorEastAsia" w:cstheme="majorEastAsia"/>
          <w:color w:val="auto"/>
          <w:sz w:val="24"/>
          <w:szCs w:val="24"/>
          <w:highlight w:val="none"/>
        </w:rPr>
      </w:pPr>
    </w:p>
    <w:p>
      <w:pPr>
        <w:pStyle w:val="69"/>
        <w:adjustRightInd w:val="0"/>
        <w:ind w:right="105" w:firstLine="0" w:firstLineChars="0"/>
        <w:rPr>
          <w:rFonts w:asciiTheme="majorEastAsia" w:hAnsiTheme="majorEastAsia" w:eastAsiaTheme="majorEastAsia" w:cstheme="majorEastAsia"/>
          <w:color w:val="auto"/>
          <w:sz w:val="24"/>
          <w:szCs w:val="24"/>
          <w:highlight w:val="none"/>
        </w:rPr>
      </w:pPr>
    </w:p>
    <w:p>
      <w:pPr>
        <w:ind w:right="105" w:firstLine="0" w:firstLineChars="0"/>
        <w:jc w:val="center"/>
        <w:outlineLvl w:val="0"/>
        <w:rPr>
          <w:rFonts w:hint="eastAsia" w:asciiTheme="majorEastAsia" w:hAnsiTheme="majorEastAsia" w:eastAsiaTheme="majorEastAsia" w:cstheme="majorEastAsia"/>
          <w:b/>
          <w:bCs/>
          <w:color w:val="auto"/>
          <w:sz w:val="32"/>
          <w:szCs w:val="32"/>
          <w:highlight w:val="none"/>
        </w:rPr>
      </w:pPr>
      <w:bookmarkStart w:id="9" w:name="_Toc10974"/>
    </w:p>
    <w:p>
      <w:pPr>
        <w:ind w:right="105" w:firstLine="0" w:firstLineChars="0"/>
        <w:jc w:val="center"/>
        <w:outlineLvl w:val="0"/>
        <w:rPr>
          <w:rFonts w:hint="eastAsia" w:asciiTheme="majorEastAsia" w:hAnsiTheme="majorEastAsia" w:eastAsiaTheme="majorEastAsia" w:cstheme="majorEastAsia"/>
          <w:b/>
          <w:bCs/>
          <w:color w:val="auto"/>
          <w:sz w:val="32"/>
          <w:szCs w:val="32"/>
          <w:highlight w:val="none"/>
        </w:rPr>
      </w:pPr>
    </w:p>
    <w:p>
      <w:pPr>
        <w:ind w:right="105" w:firstLine="0" w:firstLineChars="0"/>
        <w:jc w:val="center"/>
        <w:outlineLvl w:val="0"/>
        <w:rPr>
          <w:rFonts w:asciiTheme="majorEastAsia" w:hAnsiTheme="majorEastAsia" w:eastAsiaTheme="majorEastAsia" w:cstheme="majorEastAsia"/>
          <w:b/>
          <w:bCs/>
          <w:color w:val="auto"/>
          <w:sz w:val="32"/>
          <w:szCs w:val="32"/>
          <w:highlight w:val="none"/>
        </w:rPr>
      </w:pPr>
      <w:r>
        <w:rPr>
          <w:rFonts w:hint="eastAsia" w:asciiTheme="majorEastAsia" w:hAnsiTheme="majorEastAsia" w:eastAsiaTheme="majorEastAsia" w:cstheme="majorEastAsia"/>
          <w:b/>
          <w:bCs/>
          <w:color w:val="auto"/>
          <w:sz w:val="32"/>
          <w:szCs w:val="32"/>
          <w:highlight w:val="none"/>
        </w:rPr>
        <w:t>第二章 投标人须知</w:t>
      </w:r>
      <w:bookmarkEnd w:id="9"/>
    </w:p>
    <w:p>
      <w:pPr>
        <w:ind w:right="105" w:firstLine="0" w:firstLineChars="0"/>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投标人须知前附表</w:t>
      </w:r>
    </w:p>
    <w:tbl>
      <w:tblPr>
        <w:tblStyle w:val="31"/>
        <w:tblW w:w="9195" w:type="dxa"/>
        <w:jc w:val="center"/>
        <w:tblInd w:w="0" w:type="dxa"/>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599"/>
        <w:gridCol w:w="1746"/>
        <w:gridCol w:w="6850"/>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blHeader/>
          <w:jc w:val="center"/>
        </w:trPr>
        <w:tc>
          <w:tcPr>
            <w:tcW w:w="599" w:type="dxa"/>
            <w:tcBorders>
              <w:top w:val="single" w:color="auto" w:sz="4" w:space="0"/>
              <w:left w:val="single" w:color="auto" w:sz="4" w:space="0"/>
            </w:tcBorders>
            <w:vAlign w:val="center"/>
          </w:tcPr>
          <w:p>
            <w:pPr>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序号</w:t>
            </w:r>
          </w:p>
        </w:tc>
        <w:tc>
          <w:tcPr>
            <w:tcW w:w="1746" w:type="dxa"/>
            <w:tcBorders>
              <w:top w:val="single" w:color="auto" w:sz="4" w:space="0"/>
              <w:bottom w:val="single" w:color="auto" w:sz="8" w:space="0"/>
            </w:tcBorders>
            <w:vAlign w:val="center"/>
          </w:tcPr>
          <w:p>
            <w:pPr>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内容</w:t>
            </w:r>
          </w:p>
        </w:tc>
        <w:tc>
          <w:tcPr>
            <w:tcW w:w="6850" w:type="dxa"/>
            <w:tcBorders>
              <w:top w:val="single" w:color="auto" w:sz="4" w:space="0"/>
              <w:bottom w:val="single" w:color="auto" w:sz="8" w:space="0"/>
              <w:right w:val="single" w:color="auto" w:sz="4" w:space="0"/>
            </w:tcBorders>
            <w:vAlign w:val="center"/>
          </w:tcPr>
          <w:p>
            <w:pPr>
              <w:adjustRightInd w:val="0"/>
              <w:ind w:right="105"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w:t>
            </w:r>
          </w:p>
        </w:tc>
        <w:tc>
          <w:tcPr>
            <w:tcW w:w="1746" w:type="dxa"/>
            <w:tcBorders>
              <w:top w:val="single" w:color="auto" w:sz="8" w:space="0"/>
              <w:bottom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采购项目名称</w:t>
            </w:r>
          </w:p>
        </w:tc>
        <w:tc>
          <w:tcPr>
            <w:tcW w:w="6850" w:type="dxa"/>
            <w:tcBorders>
              <w:top w:val="single" w:color="auto" w:sz="8" w:space="0"/>
              <w:bottom w:val="single" w:color="auto" w:sz="4" w:space="0"/>
              <w:right w:val="single" w:color="auto" w:sz="4" w:space="0"/>
            </w:tcBorders>
            <w:vAlign w:val="center"/>
          </w:tcPr>
          <w:p>
            <w:pPr>
              <w:ind w:left="0" w:leftChars="0" w:right="105" w:firstLine="0" w:firstLineChars="0"/>
              <w:rPr>
                <w:rFonts w:hint="eastAsia" w:eastAsia="宋体" w:asciiTheme="majorEastAsia" w:hAnsiTheme="majorEastAsia" w:cstheme="majorEastAsia"/>
                <w:color w:val="auto"/>
                <w:sz w:val="21"/>
                <w:szCs w:val="21"/>
                <w:highlight w:val="none"/>
                <w:lang w:val="en-US" w:eastAsia="zh-CN"/>
              </w:rPr>
            </w:pPr>
            <w:r>
              <w:rPr>
                <w:rFonts w:hint="eastAsia" w:ascii="宋体" w:hAnsi="宋体" w:eastAsia="宋体" w:cs="宋体"/>
                <w:bCs/>
                <w:color w:val="auto"/>
                <w:kern w:val="0"/>
                <w:sz w:val="24"/>
                <w:szCs w:val="24"/>
                <w:highlight w:val="none"/>
                <w:lang w:val="zh-TW" w:eastAsia="zh-TW"/>
              </w:rPr>
              <w:t>2025—2027年东辰集团</w:t>
            </w:r>
            <w:r>
              <w:rPr>
                <w:rFonts w:hint="eastAsia" w:hAnsi="宋体" w:eastAsia="宋体" w:cs="宋体"/>
                <w:bCs/>
                <w:color w:val="auto"/>
                <w:kern w:val="0"/>
                <w:sz w:val="24"/>
                <w:szCs w:val="24"/>
                <w:highlight w:val="none"/>
                <w:lang w:val="en-US" w:eastAsia="zh-CN"/>
              </w:rPr>
              <w:t>物业</w:t>
            </w:r>
            <w:r>
              <w:rPr>
                <w:rFonts w:hint="eastAsia" w:ascii="宋体" w:hAnsi="宋体" w:eastAsia="宋体" w:cs="宋体"/>
                <w:bCs/>
                <w:color w:val="auto"/>
                <w:kern w:val="0"/>
                <w:sz w:val="24"/>
                <w:szCs w:val="24"/>
                <w:highlight w:val="none"/>
                <w:lang w:val="zh-TW" w:eastAsia="zh-TW"/>
              </w:rPr>
              <w:t>板块</w:t>
            </w:r>
            <w:r>
              <w:rPr>
                <w:rFonts w:hint="eastAsia" w:hAnsi="宋体" w:eastAsia="宋体" w:cs="宋体"/>
                <w:bCs/>
                <w:color w:val="auto"/>
                <w:kern w:val="0"/>
                <w:sz w:val="24"/>
                <w:szCs w:val="24"/>
                <w:highlight w:val="none"/>
                <w:lang w:val="zh-TW" w:eastAsia="zh-CN"/>
              </w:rPr>
              <w:t>保洁、</w:t>
            </w:r>
            <w:r>
              <w:rPr>
                <w:rFonts w:hint="eastAsia" w:hAnsi="宋体" w:eastAsia="宋体" w:cs="宋体"/>
                <w:bCs/>
                <w:color w:val="auto"/>
                <w:kern w:val="0"/>
                <w:sz w:val="24"/>
                <w:szCs w:val="24"/>
                <w:highlight w:val="none"/>
                <w:lang w:val="en-US" w:eastAsia="zh-CN"/>
              </w:rPr>
              <w:t>绿化</w:t>
            </w:r>
            <w:r>
              <w:rPr>
                <w:rFonts w:hint="eastAsia" w:ascii="宋体" w:hAnsi="宋体" w:eastAsia="宋体" w:cs="宋体"/>
                <w:bCs/>
                <w:color w:val="auto"/>
                <w:kern w:val="0"/>
                <w:sz w:val="24"/>
                <w:szCs w:val="24"/>
                <w:highlight w:val="none"/>
                <w:lang w:val="zh-TW" w:eastAsia="zh-TW"/>
              </w:rPr>
              <w:t>服务</w:t>
            </w:r>
            <w:r>
              <w:rPr>
                <w:rFonts w:hint="eastAsia" w:hAnsi="宋体" w:eastAsia="宋体" w:cs="宋体"/>
                <w:bCs/>
                <w:color w:val="auto"/>
                <w:kern w:val="0"/>
                <w:sz w:val="24"/>
                <w:szCs w:val="24"/>
                <w:highlight w:val="none"/>
                <w:lang w:val="en-US" w:eastAsia="zh-CN"/>
              </w:rPr>
              <w:t>采购（三标段）</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snapToGrid w:val="0"/>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项目内容与招标范围</w:t>
            </w:r>
          </w:p>
        </w:tc>
        <w:tc>
          <w:tcPr>
            <w:tcW w:w="6850" w:type="dxa"/>
            <w:tcBorders>
              <w:right w:val="single" w:color="auto" w:sz="4" w:space="0"/>
            </w:tcBorders>
            <w:vAlign w:val="center"/>
          </w:tcPr>
          <w:p>
            <w:pPr>
              <w:adjustRightInd w:val="0"/>
              <w:ind w:right="170" w:rightChars="50" w:firstLine="420"/>
              <w:rPr>
                <w:rFonts w:asciiTheme="majorEastAsia" w:hAnsiTheme="majorEastAsia" w:eastAsiaTheme="majorEastAsia" w:cstheme="majorEastAsia"/>
                <w:b/>
                <w:color w:val="auto"/>
                <w:sz w:val="21"/>
                <w:szCs w:val="21"/>
                <w:highlight w:val="none"/>
              </w:rPr>
            </w:pPr>
            <w:r>
              <w:rPr>
                <w:rFonts w:hint="eastAsia" w:asciiTheme="majorEastAsia" w:hAnsiTheme="majorEastAsia" w:eastAsiaTheme="majorEastAsia" w:cstheme="majorEastAsia"/>
                <w:color w:val="auto"/>
                <w:sz w:val="21"/>
                <w:szCs w:val="21"/>
                <w:highlight w:val="none"/>
                <w:lang w:val="zh-TW"/>
              </w:rPr>
              <w:t>详见招标文件第三章。</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1221" w:hRule="atLeast"/>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3</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rPr>
              <w:t>投标人资格条件与禁止投标情形</w:t>
            </w:r>
          </w:p>
        </w:tc>
        <w:tc>
          <w:tcPr>
            <w:tcW w:w="6850" w:type="dxa"/>
            <w:tcBorders>
              <w:right w:val="single" w:color="auto" w:sz="4" w:space="0"/>
            </w:tcBorders>
            <w:vAlign w:val="center"/>
          </w:tcPr>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详见招标公告第四条、第五条。</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4</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其他禁止投标的情形</w:t>
            </w:r>
          </w:p>
        </w:tc>
        <w:tc>
          <w:tcPr>
            <w:tcW w:w="6850" w:type="dxa"/>
            <w:tcBorders>
              <w:right w:val="single" w:color="auto" w:sz="4" w:space="0"/>
            </w:tcBorders>
            <w:vAlign w:val="center"/>
          </w:tcPr>
          <w:p>
            <w:pPr>
              <w:spacing w:line="320" w:lineRule="exact"/>
              <w:ind w:right="170" w:rightChars="50" w:firstLine="42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 xml:space="preserve">具有如下情形的单位禁止参加本项目投标： </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（1）为本项目提供招标服务的；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（2）与本项目招标人同为一个法定代表人的；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（3）与本项目招标人相互控股或参股的；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（4）与本项目招标人存在人员相互任职或工作情况的；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（5）当前处于停业状态的；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（6）处于行政主管部门投标限制期内的；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（7）财产被接管或冻结的；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（8）处于破产状态的；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（9）参加本次招标活动前3年内，利用不正当竞争手段骗取中标的；</w:t>
            </w:r>
          </w:p>
          <w:p>
            <w:pPr>
              <w:pStyle w:val="44"/>
              <w:ind w:firstLine="420" w:firstLineChars="200"/>
              <w:rPr>
                <w:rFonts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sz w:val="21"/>
                <w:szCs w:val="21"/>
                <w:highlight w:val="none"/>
              </w:rPr>
              <w:t>（10）参加本次招标活动前3年内，投标人或投标人的法定代表人（或单位负责人）存在行贿行为的；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（11）参加本次招标活动前3年内，存在经济刑事案件的；</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（12）近3年内，投标人因产品质量问题遭受过行政主管部门以下行政处罚的：责令停产停业、暂扣或者吊销许可证、暂扣或者吊销执照、行政拘留；</w:t>
            </w:r>
          </w:p>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（13）近3年内在招投标和合同履行过程有腐败行为并被司法机关认定为犯罪的；</w:t>
            </w:r>
          </w:p>
          <w:p>
            <w:pPr>
              <w:pStyle w:val="44"/>
              <w:ind w:left="210" w:hanging="210" w:hangingChars="10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 xml:space="preserve">   （14）投标人的法定代表人或主要负责人正在被纪委监察委立案调查的；</w:t>
            </w:r>
          </w:p>
          <w:p>
            <w:pPr>
              <w:spacing w:line="320" w:lineRule="exact"/>
              <w:ind w:left="170" w:leftChars="50" w:right="170" w:rightChars="50" w:firstLine="210" w:firstLineChars="100"/>
              <w:rPr>
                <w:color w:val="auto"/>
                <w:highlight w:val="none"/>
                <w:lang w:val="zh-CN"/>
              </w:rPr>
            </w:pPr>
            <w:r>
              <w:rPr>
                <w:rFonts w:hint="eastAsia" w:asciiTheme="majorEastAsia" w:hAnsiTheme="majorEastAsia" w:eastAsiaTheme="majorEastAsia" w:cstheme="majorEastAsia"/>
                <w:color w:val="auto"/>
                <w:sz w:val="21"/>
                <w:szCs w:val="21"/>
                <w:highlight w:val="none"/>
                <w:lang w:val="zh-CN"/>
              </w:rPr>
              <w:t>（15）</w:t>
            </w:r>
            <w:r>
              <w:rPr>
                <w:rFonts w:hAnsi="宋体" w:eastAsia="宋体" w:cs="宋体"/>
                <w:color w:val="auto"/>
                <w:sz w:val="21"/>
                <w:szCs w:val="21"/>
                <w:highlight w:val="none"/>
              </w:rPr>
              <w:t>若存在相似情形，则相关投标实体将被视为同一实体，无论投标实体数量多少，均视作单一实体。</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bottom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5</w:t>
            </w:r>
          </w:p>
        </w:tc>
        <w:tc>
          <w:tcPr>
            <w:tcW w:w="1746" w:type="dxa"/>
            <w:tcBorders>
              <w:bottom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zh-CN"/>
              </w:rPr>
              <w:t>联合体投标</w:t>
            </w:r>
          </w:p>
        </w:tc>
        <w:tc>
          <w:tcPr>
            <w:tcW w:w="6850" w:type="dxa"/>
            <w:tcBorders>
              <w:bottom w:val="single" w:color="auto" w:sz="4" w:space="0"/>
              <w:right w:val="single" w:color="auto" w:sz="4" w:space="0"/>
            </w:tcBorders>
            <w:vAlign w:val="center"/>
          </w:tcPr>
          <w:p>
            <w:pPr>
              <w:ind w:right="105" w:firstLine="420"/>
              <w:rPr>
                <w:rFonts w:asciiTheme="majorEastAsia" w:hAnsiTheme="majorEastAsia" w:eastAsiaTheme="majorEastAsia" w:cstheme="majorEastAsia"/>
                <w:color w:val="auto"/>
                <w:szCs w:val="34"/>
                <w:highlight w:val="none"/>
              </w:rPr>
            </w:pPr>
            <w:r>
              <w:rPr>
                <w:rFonts w:hint="eastAsia" w:asciiTheme="majorEastAsia" w:hAnsiTheme="majorEastAsia" w:eastAsiaTheme="majorEastAsia" w:cstheme="majorEastAsia"/>
                <w:color w:val="auto"/>
                <w:sz w:val="21"/>
                <w:szCs w:val="21"/>
                <w:highlight w:val="none"/>
              </w:rPr>
              <w:t>不接受</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top w:val="single" w:color="auto" w:sz="4" w:space="0"/>
              <w:left w:val="single" w:color="auto" w:sz="4" w:space="0"/>
              <w:bottom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6</w:t>
            </w:r>
          </w:p>
        </w:tc>
        <w:tc>
          <w:tcPr>
            <w:tcW w:w="1746" w:type="dxa"/>
            <w:tcBorders>
              <w:top w:val="single" w:color="auto" w:sz="4" w:space="0"/>
              <w:bottom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zh-CN"/>
              </w:rPr>
              <w:t>投标纪律要求</w:t>
            </w:r>
          </w:p>
        </w:tc>
        <w:tc>
          <w:tcPr>
            <w:tcW w:w="6850" w:type="dxa"/>
            <w:tcBorders>
              <w:top w:val="single" w:color="auto" w:sz="4" w:space="0"/>
              <w:bottom w:val="single" w:color="auto" w:sz="4" w:space="0"/>
              <w:right w:val="single" w:color="auto" w:sz="4" w:space="0"/>
            </w:tcBorders>
            <w:vAlign w:val="center"/>
          </w:tcPr>
          <w:p>
            <w:pPr>
              <w:ind w:right="105" w:firstLine="420"/>
              <w:rPr>
                <w:rFonts w:asciiTheme="majorEastAsia" w:hAnsiTheme="majorEastAsia" w:eastAsiaTheme="majorEastAsia" w:cstheme="majorEastAsia"/>
                <w:color w:val="auto"/>
                <w:szCs w:val="34"/>
                <w:highlight w:val="none"/>
              </w:rPr>
            </w:pPr>
            <w:r>
              <w:rPr>
                <w:rFonts w:hint="eastAsia" w:asciiTheme="majorEastAsia" w:hAnsiTheme="majorEastAsia" w:eastAsiaTheme="majorEastAsia" w:cstheme="majorEastAsia"/>
                <w:color w:val="auto"/>
                <w:sz w:val="21"/>
                <w:szCs w:val="21"/>
                <w:highlight w:val="none"/>
              </w:rPr>
              <w:t>详见招标文件第二章第35条</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7</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分包和转包</w:t>
            </w:r>
          </w:p>
        </w:tc>
        <w:tc>
          <w:tcPr>
            <w:tcW w:w="6850" w:type="dxa"/>
            <w:tcBorders>
              <w:right w:val="single" w:color="auto" w:sz="4" w:space="0"/>
            </w:tcBorders>
            <w:vAlign w:val="center"/>
          </w:tcPr>
          <w:p>
            <w:pPr>
              <w:spacing w:line="320" w:lineRule="exact"/>
              <w:ind w:left="170" w:leftChars="50" w:right="170" w:rightChars="50" w:firstLine="210" w:firstLineChars="10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不允许</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8</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en-US" w:eastAsia="zh-CN"/>
              </w:rPr>
              <w:t>报名</w:t>
            </w:r>
            <w:r>
              <w:rPr>
                <w:rFonts w:hint="eastAsia" w:asciiTheme="majorEastAsia" w:hAnsiTheme="majorEastAsia" w:eastAsiaTheme="majorEastAsia" w:cstheme="majorEastAsia"/>
                <w:color w:val="auto"/>
                <w:sz w:val="21"/>
                <w:szCs w:val="21"/>
                <w:highlight w:val="none"/>
              </w:rPr>
              <w:t>截止时间</w:t>
            </w:r>
          </w:p>
        </w:tc>
        <w:tc>
          <w:tcPr>
            <w:tcW w:w="6850" w:type="dxa"/>
            <w:tcBorders>
              <w:right w:val="single" w:color="auto" w:sz="4" w:space="0"/>
            </w:tcBorders>
            <w:vAlign w:val="center"/>
          </w:tcPr>
          <w:p>
            <w:pPr>
              <w:ind w:right="170" w:rightChars="50" w:firstLine="420" w:firstLineChars="200"/>
              <w:rPr>
                <w:rFonts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sz w:val="21"/>
                <w:szCs w:val="21"/>
                <w:highlight w:val="none"/>
                <w:u w:val="single"/>
              </w:rPr>
              <w:t>2025</w:t>
            </w:r>
            <w:r>
              <w:rPr>
                <w:rFonts w:hint="eastAsia" w:asciiTheme="majorEastAsia" w:hAnsiTheme="majorEastAsia" w:eastAsiaTheme="majorEastAsia" w:cstheme="majorEastAsia"/>
                <w:color w:val="auto"/>
                <w:sz w:val="21"/>
                <w:szCs w:val="21"/>
                <w:highlight w:val="none"/>
              </w:rPr>
              <w:t>年</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u w:val="single"/>
                <w:lang w:val="en-US" w:eastAsia="zh-CN"/>
              </w:rPr>
              <w:t xml:space="preserve">5 </w:t>
            </w:r>
            <w:r>
              <w:rPr>
                <w:rFonts w:hint="eastAsia" w:asciiTheme="majorEastAsia" w:hAnsiTheme="majorEastAsia" w:eastAsiaTheme="majorEastAsia" w:cstheme="majorEastAsia"/>
                <w:color w:val="auto"/>
                <w:sz w:val="21"/>
                <w:szCs w:val="21"/>
                <w:highlight w:val="none"/>
              </w:rPr>
              <w:t>月</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u w:val="single"/>
                <w:lang w:val="en-US" w:eastAsia="zh-CN"/>
              </w:rPr>
              <w:t>27</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rPr>
              <w:t>日</w:t>
            </w:r>
            <w:r>
              <w:rPr>
                <w:rFonts w:hint="eastAsia" w:asciiTheme="majorEastAsia" w:hAnsiTheme="majorEastAsia" w:eastAsiaTheme="majorEastAsia" w:cstheme="majorEastAsia"/>
                <w:color w:val="auto"/>
                <w:sz w:val="21"/>
                <w:szCs w:val="21"/>
                <w:highlight w:val="none"/>
                <w:u w:val="single"/>
              </w:rPr>
              <w:t>1</w:t>
            </w:r>
            <w:r>
              <w:rPr>
                <w:rFonts w:hint="eastAsia" w:asciiTheme="majorEastAsia" w:hAnsiTheme="majorEastAsia" w:eastAsiaTheme="majorEastAsia" w:cstheme="majorEastAsia"/>
                <w:color w:val="auto"/>
                <w:sz w:val="21"/>
                <w:szCs w:val="21"/>
                <w:highlight w:val="none"/>
                <w:u w:val="single"/>
                <w:lang w:val="en-US" w:eastAsia="zh-CN"/>
              </w:rPr>
              <w:t>0</w:t>
            </w:r>
            <w:r>
              <w:rPr>
                <w:rFonts w:hint="eastAsia" w:asciiTheme="majorEastAsia" w:hAnsiTheme="majorEastAsia" w:eastAsiaTheme="majorEastAsia" w:cstheme="majorEastAsia"/>
                <w:color w:val="auto"/>
                <w:sz w:val="21"/>
                <w:szCs w:val="21"/>
                <w:highlight w:val="none"/>
                <w:u w:val="single"/>
              </w:rPr>
              <w:t xml:space="preserve"> </w:t>
            </w:r>
            <w:r>
              <w:rPr>
                <w:rFonts w:hint="eastAsia" w:asciiTheme="majorEastAsia" w:hAnsiTheme="majorEastAsia" w:eastAsiaTheme="majorEastAsia" w:cstheme="majorEastAsia"/>
                <w:color w:val="auto"/>
                <w:sz w:val="21"/>
                <w:szCs w:val="21"/>
                <w:highlight w:val="none"/>
              </w:rPr>
              <w:t>时</w:t>
            </w:r>
            <w:r>
              <w:rPr>
                <w:rFonts w:hint="eastAsia" w:asciiTheme="majorEastAsia" w:hAnsiTheme="majorEastAsia" w:eastAsiaTheme="majorEastAsia" w:cstheme="majorEastAsia"/>
                <w:color w:val="auto"/>
                <w:sz w:val="21"/>
                <w:szCs w:val="21"/>
                <w:highlight w:val="none"/>
                <w:u w:val="single"/>
              </w:rPr>
              <w:t xml:space="preserve">00 </w:t>
            </w:r>
            <w:r>
              <w:rPr>
                <w:rFonts w:hint="eastAsia" w:asciiTheme="majorEastAsia" w:hAnsiTheme="majorEastAsia" w:eastAsiaTheme="majorEastAsia" w:cstheme="majorEastAsia"/>
                <w:color w:val="auto"/>
                <w:sz w:val="21"/>
                <w:szCs w:val="21"/>
                <w:highlight w:val="none"/>
              </w:rPr>
              <w:t>分（北京时间）</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bottom w:val="single" w:color="auto" w:sz="4" w:space="0"/>
            </w:tcBorders>
            <w:vAlign w:val="center"/>
          </w:tcPr>
          <w:p>
            <w:pPr>
              <w:adjustRightInd w:val="0"/>
              <w:spacing w:line="40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9</w:t>
            </w:r>
          </w:p>
        </w:tc>
        <w:tc>
          <w:tcPr>
            <w:tcW w:w="1746" w:type="dxa"/>
            <w:tcBorders>
              <w:bottom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递交投标文件</w:t>
            </w:r>
          </w:p>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时间、地点</w:t>
            </w:r>
          </w:p>
        </w:tc>
        <w:tc>
          <w:tcPr>
            <w:tcW w:w="6850" w:type="dxa"/>
            <w:tcBorders>
              <w:bottom w:val="single" w:color="auto" w:sz="4" w:space="0"/>
              <w:right w:val="single" w:color="auto" w:sz="4" w:space="0"/>
            </w:tcBorders>
            <w:vAlign w:val="center"/>
          </w:tcPr>
          <w:p>
            <w:pPr>
              <w:pStyle w:val="69"/>
              <w:ind w:right="105" w:rightChars="0" w:firstLine="420" w:firstLineChars="200"/>
              <w:rPr>
                <w:rFonts w:hint="eastAsia" w:asciiTheme="majorEastAsia" w:hAnsiTheme="majorEastAsia" w:eastAsiaTheme="majorEastAsia" w:cstheme="majorEastAsia"/>
                <w:snapToGrid w:val="0"/>
                <w:color w:val="auto"/>
                <w:szCs w:val="21"/>
                <w:highlight w:val="none"/>
                <w:lang w:eastAsia="zh-CN"/>
              </w:rPr>
            </w:pPr>
            <w:r>
              <w:rPr>
                <w:rFonts w:hint="eastAsia" w:asciiTheme="majorEastAsia" w:hAnsiTheme="majorEastAsia" w:eastAsiaTheme="majorEastAsia" w:cstheme="majorEastAsia"/>
                <w:snapToGrid w:val="0"/>
                <w:color w:val="auto"/>
                <w:szCs w:val="21"/>
                <w:highlight w:val="none"/>
                <w:u w:val="single"/>
              </w:rPr>
              <w:t>2025</w:t>
            </w:r>
            <w:r>
              <w:rPr>
                <w:rFonts w:hint="eastAsia" w:asciiTheme="majorEastAsia" w:hAnsiTheme="majorEastAsia" w:eastAsiaTheme="majorEastAsia" w:cstheme="majorEastAsia"/>
                <w:snapToGrid w:val="0"/>
                <w:color w:val="auto"/>
                <w:szCs w:val="21"/>
                <w:highlight w:val="none"/>
              </w:rPr>
              <w:t>年</w:t>
            </w:r>
            <w:r>
              <w:rPr>
                <w:rFonts w:hint="eastAsia" w:asciiTheme="majorEastAsia" w:hAnsiTheme="majorEastAsia" w:eastAsiaTheme="majorEastAsia" w:cstheme="majorEastAsia"/>
                <w:snapToGrid w:val="0"/>
                <w:color w:val="auto"/>
                <w:szCs w:val="21"/>
                <w:highlight w:val="none"/>
                <w:u w:val="single"/>
              </w:rPr>
              <w:t xml:space="preserve"> </w:t>
            </w:r>
            <w:r>
              <w:rPr>
                <w:rFonts w:hint="eastAsia" w:asciiTheme="majorEastAsia" w:hAnsiTheme="majorEastAsia" w:eastAsiaTheme="majorEastAsia" w:cstheme="majorEastAsia"/>
                <w:snapToGrid w:val="0"/>
                <w:color w:val="auto"/>
                <w:szCs w:val="21"/>
                <w:highlight w:val="none"/>
                <w:u w:val="single"/>
                <w:lang w:val="en-US" w:eastAsia="zh-CN"/>
              </w:rPr>
              <w:t>6</w:t>
            </w:r>
            <w:r>
              <w:rPr>
                <w:rFonts w:hint="eastAsia" w:asciiTheme="majorEastAsia" w:hAnsiTheme="majorEastAsia" w:eastAsiaTheme="majorEastAsia" w:cstheme="majorEastAsia"/>
                <w:snapToGrid w:val="0"/>
                <w:color w:val="auto"/>
                <w:szCs w:val="21"/>
                <w:highlight w:val="none"/>
                <w:u w:val="single"/>
              </w:rPr>
              <w:t xml:space="preserve"> </w:t>
            </w:r>
            <w:r>
              <w:rPr>
                <w:rFonts w:hint="eastAsia" w:asciiTheme="majorEastAsia" w:hAnsiTheme="majorEastAsia" w:eastAsiaTheme="majorEastAsia" w:cstheme="majorEastAsia"/>
                <w:snapToGrid w:val="0"/>
                <w:color w:val="auto"/>
                <w:szCs w:val="21"/>
                <w:highlight w:val="none"/>
              </w:rPr>
              <w:t>月</w:t>
            </w:r>
            <w:r>
              <w:rPr>
                <w:rFonts w:hint="eastAsia" w:asciiTheme="majorEastAsia" w:hAnsiTheme="majorEastAsia" w:eastAsiaTheme="majorEastAsia" w:cstheme="majorEastAsia"/>
                <w:snapToGrid w:val="0"/>
                <w:color w:val="auto"/>
                <w:szCs w:val="21"/>
                <w:highlight w:val="none"/>
                <w:u w:val="single"/>
                <w:lang w:val="en-US" w:eastAsia="zh-CN"/>
              </w:rPr>
              <w:t>4</w:t>
            </w:r>
            <w:r>
              <w:rPr>
                <w:rFonts w:hint="eastAsia" w:asciiTheme="majorEastAsia" w:hAnsiTheme="majorEastAsia" w:eastAsiaTheme="majorEastAsia" w:cstheme="majorEastAsia"/>
                <w:snapToGrid w:val="0"/>
                <w:color w:val="auto"/>
                <w:szCs w:val="21"/>
                <w:highlight w:val="none"/>
              </w:rPr>
              <w:t>日</w:t>
            </w:r>
            <w:r>
              <w:rPr>
                <w:rFonts w:hint="eastAsia" w:asciiTheme="majorEastAsia" w:hAnsiTheme="majorEastAsia" w:eastAsiaTheme="majorEastAsia" w:cstheme="majorEastAsia"/>
                <w:snapToGrid w:val="0"/>
                <w:color w:val="auto"/>
                <w:szCs w:val="21"/>
                <w:highlight w:val="none"/>
                <w:u w:val="single"/>
                <w:lang w:val="en-US" w:eastAsia="zh-CN"/>
              </w:rPr>
              <w:t>10</w:t>
            </w:r>
            <w:r>
              <w:rPr>
                <w:rFonts w:hint="eastAsia" w:asciiTheme="majorEastAsia" w:hAnsiTheme="majorEastAsia" w:eastAsiaTheme="majorEastAsia" w:cstheme="majorEastAsia"/>
                <w:snapToGrid w:val="0"/>
                <w:color w:val="auto"/>
                <w:szCs w:val="21"/>
                <w:highlight w:val="none"/>
              </w:rPr>
              <w:t>时00分（北京时间）至</w:t>
            </w:r>
            <w:r>
              <w:rPr>
                <w:rFonts w:hint="eastAsia" w:asciiTheme="majorEastAsia" w:hAnsiTheme="majorEastAsia" w:eastAsiaTheme="majorEastAsia" w:cstheme="majorEastAsia"/>
                <w:snapToGrid w:val="0"/>
                <w:color w:val="auto"/>
                <w:szCs w:val="21"/>
                <w:highlight w:val="none"/>
                <w:u w:val="single"/>
              </w:rPr>
              <w:t>2025</w:t>
            </w:r>
            <w:r>
              <w:rPr>
                <w:rFonts w:hint="eastAsia" w:asciiTheme="majorEastAsia" w:hAnsiTheme="majorEastAsia" w:eastAsiaTheme="majorEastAsia" w:cstheme="majorEastAsia"/>
                <w:snapToGrid w:val="0"/>
                <w:color w:val="auto"/>
                <w:szCs w:val="21"/>
                <w:highlight w:val="none"/>
              </w:rPr>
              <w:t>年</w:t>
            </w:r>
            <w:r>
              <w:rPr>
                <w:rFonts w:hint="eastAsia" w:asciiTheme="majorEastAsia" w:hAnsiTheme="majorEastAsia" w:eastAsiaTheme="majorEastAsia" w:cstheme="majorEastAsia"/>
                <w:snapToGrid w:val="0"/>
                <w:color w:val="auto"/>
                <w:szCs w:val="21"/>
                <w:highlight w:val="none"/>
                <w:u w:val="single"/>
              </w:rPr>
              <w:t xml:space="preserve"> </w:t>
            </w:r>
            <w:r>
              <w:rPr>
                <w:rFonts w:hint="eastAsia" w:asciiTheme="majorEastAsia" w:hAnsiTheme="majorEastAsia" w:eastAsiaTheme="majorEastAsia" w:cstheme="majorEastAsia"/>
                <w:snapToGrid w:val="0"/>
                <w:color w:val="auto"/>
                <w:szCs w:val="21"/>
                <w:highlight w:val="none"/>
                <w:u w:val="single"/>
                <w:lang w:val="en-US" w:eastAsia="zh-CN"/>
              </w:rPr>
              <w:t>6</w:t>
            </w:r>
            <w:r>
              <w:rPr>
                <w:rFonts w:hint="eastAsia" w:asciiTheme="majorEastAsia" w:hAnsiTheme="majorEastAsia" w:eastAsiaTheme="majorEastAsia" w:cstheme="majorEastAsia"/>
                <w:snapToGrid w:val="0"/>
                <w:color w:val="auto"/>
                <w:szCs w:val="21"/>
                <w:highlight w:val="none"/>
                <w:u w:val="single"/>
              </w:rPr>
              <w:t xml:space="preserve"> </w:t>
            </w:r>
            <w:r>
              <w:rPr>
                <w:rFonts w:hint="eastAsia" w:asciiTheme="majorEastAsia" w:hAnsiTheme="majorEastAsia" w:eastAsiaTheme="majorEastAsia" w:cstheme="majorEastAsia"/>
                <w:snapToGrid w:val="0"/>
                <w:color w:val="auto"/>
                <w:szCs w:val="21"/>
                <w:highlight w:val="none"/>
              </w:rPr>
              <w:t>月</w:t>
            </w:r>
            <w:r>
              <w:rPr>
                <w:rFonts w:hint="eastAsia" w:asciiTheme="majorEastAsia" w:hAnsiTheme="majorEastAsia" w:eastAsiaTheme="majorEastAsia" w:cstheme="majorEastAsia"/>
                <w:snapToGrid w:val="0"/>
                <w:color w:val="auto"/>
                <w:szCs w:val="21"/>
                <w:highlight w:val="none"/>
                <w:u w:val="single"/>
              </w:rPr>
              <w:t xml:space="preserve"> </w:t>
            </w:r>
            <w:r>
              <w:rPr>
                <w:rFonts w:hint="eastAsia" w:asciiTheme="majorEastAsia" w:hAnsiTheme="majorEastAsia" w:eastAsiaTheme="majorEastAsia" w:cstheme="majorEastAsia"/>
                <w:snapToGrid w:val="0"/>
                <w:color w:val="auto"/>
                <w:szCs w:val="21"/>
                <w:highlight w:val="none"/>
                <w:u w:val="single"/>
                <w:lang w:val="en-US" w:eastAsia="zh-CN"/>
              </w:rPr>
              <w:t>10</w:t>
            </w:r>
            <w:r>
              <w:rPr>
                <w:rFonts w:hint="eastAsia" w:asciiTheme="majorEastAsia" w:hAnsiTheme="majorEastAsia" w:eastAsiaTheme="majorEastAsia" w:cstheme="majorEastAsia"/>
                <w:snapToGrid w:val="0"/>
                <w:color w:val="auto"/>
                <w:szCs w:val="21"/>
                <w:highlight w:val="none"/>
              </w:rPr>
              <w:t>日</w:t>
            </w:r>
            <w:r>
              <w:rPr>
                <w:rFonts w:hint="eastAsia" w:asciiTheme="majorEastAsia" w:hAnsiTheme="majorEastAsia" w:eastAsiaTheme="majorEastAsia" w:cstheme="majorEastAsia"/>
                <w:snapToGrid w:val="0"/>
                <w:color w:val="auto"/>
                <w:szCs w:val="21"/>
                <w:highlight w:val="none"/>
                <w:u w:val="single"/>
              </w:rPr>
              <w:t xml:space="preserve"> 1</w:t>
            </w:r>
            <w:r>
              <w:rPr>
                <w:rFonts w:hint="eastAsia" w:asciiTheme="majorEastAsia" w:hAnsiTheme="majorEastAsia" w:eastAsiaTheme="majorEastAsia" w:cstheme="majorEastAsia"/>
                <w:snapToGrid w:val="0"/>
                <w:color w:val="auto"/>
                <w:szCs w:val="21"/>
                <w:highlight w:val="none"/>
                <w:u w:val="single"/>
                <w:lang w:val="en-US" w:eastAsia="zh-CN"/>
              </w:rPr>
              <w:t>0</w:t>
            </w:r>
            <w:r>
              <w:rPr>
                <w:rFonts w:hint="eastAsia" w:asciiTheme="majorEastAsia" w:hAnsiTheme="majorEastAsia" w:eastAsiaTheme="majorEastAsia" w:cstheme="majorEastAsia"/>
                <w:snapToGrid w:val="0"/>
                <w:color w:val="auto"/>
                <w:szCs w:val="21"/>
                <w:highlight w:val="none"/>
              </w:rPr>
              <w:t>时</w:t>
            </w:r>
            <w:r>
              <w:rPr>
                <w:rFonts w:hint="eastAsia" w:asciiTheme="majorEastAsia" w:hAnsiTheme="majorEastAsia" w:eastAsiaTheme="majorEastAsia" w:cstheme="majorEastAsia"/>
                <w:snapToGrid w:val="0"/>
                <w:color w:val="auto"/>
                <w:szCs w:val="21"/>
                <w:highlight w:val="none"/>
                <w:u w:val="single"/>
              </w:rPr>
              <w:t xml:space="preserve"> 00</w:t>
            </w:r>
            <w:r>
              <w:rPr>
                <w:rFonts w:hint="eastAsia" w:asciiTheme="majorEastAsia" w:hAnsiTheme="majorEastAsia" w:eastAsiaTheme="majorEastAsia" w:cstheme="majorEastAsia"/>
                <w:snapToGrid w:val="0"/>
                <w:color w:val="auto"/>
                <w:szCs w:val="21"/>
                <w:highlight w:val="none"/>
              </w:rPr>
              <w:t>分（北京时间）</w:t>
            </w:r>
            <w:r>
              <w:rPr>
                <w:rFonts w:hint="eastAsia" w:asciiTheme="majorEastAsia" w:hAnsiTheme="majorEastAsia" w:eastAsiaTheme="majorEastAsia" w:cstheme="majorEastAsia"/>
                <w:color w:val="auto"/>
                <w:szCs w:val="21"/>
                <w:highlight w:val="none"/>
              </w:rPr>
              <w:t>。投标文件必须在投标截止时间前送达</w:t>
            </w:r>
            <w:r>
              <w:rPr>
                <w:rFonts w:hint="eastAsia" w:asciiTheme="majorEastAsia" w:hAnsiTheme="majorEastAsia" w:eastAsiaTheme="majorEastAsia" w:cstheme="majorEastAsia"/>
                <w:color w:val="auto"/>
                <w:szCs w:val="21"/>
                <w:highlight w:val="none"/>
                <w:u w:val="single"/>
              </w:rPr>
              <w:t>四川省绵阳市涪城区科创园区财元路6号（东辰集团四楼</w:t>
            </w:r>
            <w:r>
              <w:rPr>
                <w:rFonts w:hint="eastAsia" w:asciiTheme="majorEastAsia" w:hAnsiTheme="majorEastAsia" w:eastAsiaTheme="majorEastAsia" w:cstheme="majorEastAsia"/>
                <w:color w:val="auto"/>
                <w:szCs w:val="21"/>
                <w:highlight w:val="none"/>
                <w:u w:val="single"/>
                <w:lang w:val="en-US" w:eastAsia="zh-CN"/>
              </w:rPr>
              <w:t>行政人事部</w:t>
            </w:r>
            <w:r>
              <w:rPr>
                <w:rFonts w:hint="eastAsia" w:asciiTheme="majorEastAsia" w:hAnsiTheme="majorEastAsia" w:eastAsiaTheme="majorEastAsia" w:cstheme="majorEastAsia"/>
                <w:color w:val="auto"/>
                <w:szCs w:val="21"/>
                <w:highlight w:val="none"/>
                <w:u w:val="single"/>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top w:val="single" w:color="auto" w:sz="4" w:space="0"/>
              <w:left w:val="single" w:color="auto" w:sz="4" w:space="0"/>
            </w:tcBorders>
            <w:vAlign w:val="center"/>
          </w:tcPr>
          <w:p>
            <w:pPr>
              <w:adjustRightInd w:val="0"/>
              <w:spacing w:line="400" w:lineRule="exact"/>
              <w:ind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 xml:space="preserve"> 10</w:t>
            </w:r>
          </w:p>
        </w:tc>
        <w:tc>
          <w:tcPr>
            <w:tcW w:w="1746" w:type="dxa"/>
            <w:tcBorders>
              <w:top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b w:val="0"/>
                <w:bCs w:val="0"/>
                <w:color w:val="auto"/>
                <w:sz w:val="21"/>
                <w:szCs w:val="21"/>
                <w:highlight w:val="none"/>
              </w:rPr>
            </w:pPr>
            <w:r>
              <w:rPr>
                <w:rFonts w:hint="eastAsia" w:asciiTheme="majorEastAsia" w:hAnsiTheme="majorEastAsia" w:eastAsiaTheme="majorEastAsia" w:cstheme="majorEastAsia"/>
                <w:b w:val="0"/>
                <w:bCs w:val="0"/>
                <w:color w:val="auto"/>
                <w:sz w:val="21"/>
                <w:szCs w:val="21"/>
                <w:highlight w:val="none"/>
              </w:rPr>
              <w:t>开标地点</w:t>
            </w:r>
          </w:p>
        </w:tc>
        <w:tc>
          <w:tcPr>
            <w:tcW w:w="6850" w:type="dxa"/>
            <w:tcBorders>
              <w:top w:val="single" w:color="auto" w:sz="4" w:space="0"/>
              <w:right w:val="single" w:color="auto" w:sz="4" w:space="0"/>
            </w:tcBorders>
            <w:vAlign w:val="center"/>
          </w:tcPr>
          <w:p>
            <w:pPr>
              <w:pStyle w:val="69"/>
              <w:ind w:left="0" w:leftChars="0" w:right="105" w:firstLine="210" w:firstLineChars="100"/>
              <w:rPr>
                <w:rFonts w:asciiTheme="majorEastAsia" w:hAnsiTheme="majorEastAsia" w:eastAsiaTheme="majorEastAsia" w:cstheme="majorEastAsia"/>
                <w:b w:val="0"/>
                <w:bCs w:val="0"/>
                <w:snapToGrid w:val="0"/>
                <w:color w:val="auto"/>
                <w:szCs w:val="24"/>
                <w:highlight w:val="none"/>
                <w:u w:val="single"/>
              </w:rPr>
            </w:pPr>
            <w:r>
              <w:rPr>
                <w:rFonts w:hint="eastAsia" w:asciiTheme="majorEastAsia" w:hAnsiTheme="majorEastAsia" w:eastAsiaTheme="majorEastAsia" w:cstheme="majorEastAsia"/>
                <w:b w:val="0"/>
                <w:bCs w:val="0"/>
                <w:snapToGrid w:val="0"/>
                <w:color w:val="auto"/>
                <w:szCs w:val="24"/>
                <w:highlight w:val="none"/>
                <w:u w:val="single"/>
              </w:rPr>
              <w:t>四川省绵阳市涪城区科创园区财元路6号（东辰集团四楼</w:t>
            </w:r>
            <w:r>
              <w:rPr>
                <w:rFonts w:hint="eastAsia" w:asciiTheme="majorEastAsia" w:hAnsiTheme="majorEastAsia" w:eastAsiaTheme="majorEastAsia" w:cstheme="majorEastAsia"/>
                <w:b w:val="0"/>
                <w:bCs w:val="0"/>
                <w:snapToGrid w:val="0"/>
                <w:color w:val="auto"/>
                <w:szCs w:val="24"/>
                <w:highlight w:val="none"/>
                <w:u w:val="single"/>
                <w:lang w:eastAsia="zh-CN"/>
              </w:rPr>
              <w:t>会议室</w:t>
            </w:r>
            <w:r>
              <w:rPr>
                <w:rFonts w:hint="eastAsia" w:asciiTheme="majorEastAsia" w:hAnsiTheme="majorEastAsia" w:eastAsiaTheme="majorEastAsia" w:cstheme="majorEastAsia"/>
                <w:b w:val="0"/>
                <w:bCs w:val="0"/>
                <w:snapToGrid w:val="0"/>
                <w:color w:val="auto"/>
                <w:szCs w:val="24"/>
                <w:highlight w:val="none"/>
                <w:u w:val="single"/>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11</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投标有效期</w:t>
            </w:r>
          </w:p>
        </w:tc>
        <w:tc>
          <w:tcPr>
            <w:tcW w:w="6850" w:type="dxa"/>
            <w:tcBorders>
              <w:right w:val="single" w:color="auto" w:sz="4" w:space="0"/>
            </w:tcBorders>
            <w:vAlign w:val="center"/>
          </w:tcPr>
          <w:p>
            <w:pPr>
              <w:ind w:right="170" w:rightChars="50" w:firstLine="210" w:firstLineChars="100"/>
              <w:rPr>
                <w:rFonts w:asciiTheme="majorEastAsia" w:hAnsiTheme="majorEastAsia" w:eastAsiaTheme="majorEastAsia" w:cstheme="majorEastAsia"/>
                <w:color w:val="auto"/>
                <w:highlight w:val="none"/>
              </w:rPr>
            </w:pPr>
            <w:r>
              <w:rPr>
                <w:rFonts w:hint="eastAsia" w:asciiTheme="majorEastAsia" w:hAnsiTheme="majorEastAsia" w:eastAsiaTheme="majorEastAsia" w:cstheme="majorEastAsia"/>
                <w:color w:val="auto"/>
                <w:sz w:val="21"/>
                <w:szCs w:val="21"/>
                <w:highlight w:val="none"/>
                <w:u w:val="single"/>
              </w:rPr>
              <w:t>30</w:t>
            </w:r>
            <w:r>
              <w:rPr>
                <w:rFonts w:hint="eastAsia" w:asciiTheme="majorEastAsia" w:hAnsiTheme="majorEastAsia" w:eastAsiaTheme="majorEastAsia" w:cstheme="majorEastAsia"/>
                <w:color w:val="auto"/>
                <w:sz w:val="21"/>
                <w:szCs w:val="21"/>
                <w:highlight w:val="none"/>
              </w:rPr>
              <w:t>日，从投标截止之日起算。</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12</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8"/>
                <w:highlight w:val="none"/>
                <w:lang w:val="zh-CN"/>
              </w:rPr>
            </w:pPr>
            <w:r>
              <w:rPr>
                <w:rFonts w:hint="eastAsia" w:asciiTheme="majorEastAsia" w:hAnsiTheme="majorEastAsia" w:eastAsiaTheme="majorEastAsia" w:cstheme="majorEastAsia"/>
                <w:color w:val="auto"/>
                <w:sz w:val="21"/>
                <w:szCs w:val="21"/>
                <w:highlight w:val="none"/>
                <w:lang w:val="zh-CN"/>
              </w:rPr>
              <w:t>低于成本价不正当竞争预防措施</w:t>
            </w:r>
          </w:p>
        </w:tc>
        <w:tc>
          <w:tcPr>
            <w:tcW w:w="6850" w:type="dxa"/>
            <w:tcBorders>
              <w:right w:val="single" w:color="auto" w:sz="4" w:space="0"/>
            </w:tcBorders>
            <w:vAlign w:val="center"/>
          </w:tcPr>
          <w:p>
            <w:pPr>
              <w:adjustRightInd w:val="0"/>
              <w:spacing w:line="240" w:lineRule="auto"/>
              <w:ind w:left="170" w:leftChars="50" w:right="170" w:rightChars="50" w:firstLine="420"/>
              <w:jc w:val="left"/>
              <w:rPr>
                <w:rFonts w:asciiTheme="majorEastAsia" w:hAnsiTheme="majorEastAsia" w:eastAsiaTheme="majorEastAsia" w:cstheme="majorEastAsia"/>
                <w:snapToGrid w:val="0"/>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在评标过程中，评标小组认为供应商的报价明显低于其他通过符合性审查的投标人的报价，有可能影响产品质量或者不能诚信履约的，评标小组应当要求其在评标现场合理的时间内提供书面说明，并提交相关证明材料。书面说明应当按照国家财务会计制度的规定要求，逐项就成本、税金及附加、销售费用、管理费用、财务费用等成本构成事项详细陈述。书面说明应当由其法定代表人、单位负责人、经营者或者代理人签字确认或者加盖公章，否则无效。投标人提供书面说明后，评标小组应当结合项目需求、专业实际情况、财务状况报告、与其他投标人比较情况等就书面说明进行审查评价。投标人拒绝或者变相拒绝提供有效书面说明或者书面说明不能证明其报价合理性的，评标小组应当将其投标报价作为无效处理（即报价得分为零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spacing w:line="40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rPr>
              <w:t>13</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构成招标文件的其他文件</w:t>
            </w:r>
          </w:p>
        </w:tc>
        <w:tc>
          <w:tcPr>
            <w:tcW w:w="6850" w:type="dxa"/>
            <w:tcBorders>
              <w:right w:val="single" w:color="auto" w:sz="4" w:space="0"/>
            </w:tcBorders>
            <w:vAlign w:val="center"/>
          </w:tcPr>
          <w:p>
            <w:pPr>
              <w:ind w:left="105" w:right="105" w:hanging="105" w:hangingChars="5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 xml:space="preserve"> 招标文件的澄清、修改及有关补充通知为招标文件的有效组成部分。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spacing w:line="40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14</w:t>
            </w:r>
          </w:p>
        </w:tc>
        <w:tc>
          <w:tcPr>
            <w:tcW w:w="1746" w:type="dxa"/>
            <w:vAlign w:val="center"/>
          </w:tcPr>
          <w:p>
            <w:pPr>
              <w:adjustRightInd w:val="0"/>
              <w:spacing w:line="38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snapToGrid w:val="0"/>
                <w:color w:val="auto"/>
                <w:sz w:val="21"/>
                <w:szCs w:val="21"/>
                <w:highlight w:val="none"/>
              </w:rPr>
              <w:t>招标文件的澄清、修改、补充</w:t>
            </w:r>
          </w:p>
        </w:tc>
        <w:tc>
          <w:tcPr>
            <w:tcW w:w="6850" w:type="dxa"/>
            <w:tcBorders>
              <w:right w:val="single" w:color="auto" w:sz="4" w:space="0"/>
            </w:tcBorders>
            <w:vAlign w:val="center"/>
          </w:tcPr>
          <w:p>
            <w:pPr>
              <w:pStyle w:val="102"/>
              <w:ind w:firstLine="482"/>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1、对已发出的招标文件进行澄清或者修改，招标人以书面形式将澄清或者修改的内容通知所有收到招标文件的投标人，该澄清或者修改的内容为招标文件的组成部分。</w:t>
            </w:r>
          </w:p>
          <w:p>
            <w:pPr>
              <w:pStyle w:val="102"/>
              <w:ind w:firstLine="482"/>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2、所有已经收到招标文件的投标人有义务及时关注本项目招标文件澄清或者修改内容，并及时进行阅读、下载、截图、打印等。若投标人未能尽到该义务，将承担投标中由此产生的不利影响。</w:t>
            </w:r>
          </w:p>
          <w:p>
            <w:pPr>
              <w:pStyle w:val="102"/>
              <w:ind w:firstLine="482"/>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3、投标人要求对招标文件进行澄清的，应当在投标截止日3日前按招标文件中的联系方式，以书面形式通知招标人。</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15</w:t>
            </w:r>
          </w:p>
        </w:tc>
        <w:tc>
          <w:tcPr>
            <w:tcW w:w="1746" w:type="dxa"/>
            <w:vAlign w:val="center"/>
          </w:tcPr>
          <w:p>
            <w:pPr>
              <w:adjustRightInd w:val="0"/>
              <w:ind w:left="0" w:leftChars="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投标文件的数量</w:t>
            </w:r>
          </w:p>
        </w:tc>
        <w:tc>
          <w:tcPr>
            <w:tcW w:w="6850" w:type="dxa"/>
            <w:tcBorders>
              <w:right w:val="single" w:color="auto" w:sz="4" w:space="0"/>
            </w:tcBorders>
            <w:vAlign w:val="center"/>
          </w:tcPr>
          <w:p>
            <w:pPr>
              <w:ind w:left="0" w:leftChars="0" w:right="170" w:rightChars="50" w:firstLine="420" w:firstLineChars="200"/>
              <w:jc w:val="both"/>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正本1份、副本</w:t>
            </w:r>
            <w:r>
              <w:rPr>
                <w:rFonts w:hint="eastAsia" w:asciiTheme="majorEastAsia" w:hAnsiTheme="majorEastAsia" w:eastAsiaTheme="majorEastAsia" w:cstheme="majorEastAsia"/>
                <w:color w:val="auto"/>
                <w:sz w:val="21"/>
                <w:szCs w:val="21"/>
                <w:highlight w:val="none"/>
                <w:lang w:val="en-US" w:eastAsia="zh-CN"/>
              </w:rPr>
              <w:t>5</w:t>
            </w:r>
            <w:r>
              <w:rPr>
                <w:rFonts w:hint="eastAsia" w:asciiTheme="majorEastAsia" w:hAnsiTheme="majorEastAsia" w:eastAsiaTheme="majorEastAsia" w:cstheme="majorEastAsia"/>
                <w:color w:val="auto"/>
                <w:sz w:val="21"/>
                <w:szCs w:val="21"/>
                <w:highlight w:val="none"/>
              </w:rPr>
              <w:t>份、电子文档（U盘）1份</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891" w:hRule="atLeast"/>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16</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投标文件的包装、密封和标注</w:t>
            </w:r>
          </w:p>
        </w:tc>
        <w:tc>
          <w:tcPr>
            <w:tcW w:w="6850" w:type="dxa"/>
            <w:tcBorders>
              <w:right w:val="single" w:color="auto" w:sz="4" w:space="0"/>
            </w:tcBorders>
            <w:vAlign w:val="center"/>
          </w:tcPr>
          <w:p>
            <w:pPr>
              <w:ind w:left="0" w:leftChars="0" w:right="170" w:rightChars="50" w:firstLine="420" w:firstLineChars="200"/>
              <w:jc w:val="both"/>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详见招标文件第二章第三条</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17</w:t>
            </w:r>
          </w:p>
        </w:tc>
        <w:tc>
          <w:tcPr>
            <w:tcW w:w="1746" w:type="dxa"/>
            <w:vAlign w:val="center"/>
          </w:tcPr>
          <w:p>
            <w:pPr>
              <w:adjustRightInd w:val="0"/>
              <w:spacing w:line="38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最高限价</w:t>
            </w:r>
          </w:p>
        </w:tc>
        <w:tc>
          <w:tcPr>
            <w:tcW w:w="6850" w:type="dxa"/>
            <w:tcBorders>
              <w:right w:val="single" w:color="auto" w:sz="4" w:space="0"/>
            </w:tcBorders>
            <w:vAlign w:val="center"/>
          </w:tcPr>
          <w:p>
            <w:pPr>
              <w:spacing w:line="240" w:lineRule="auto"/>
              <w:ind w:right="170" w:rightChars="5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总价限价</w:t>
            </w:r>
            <w:bookmarkStart w:id="10" w:name="OLE_LINK9"/>
            <w:r>
              <w:rPr>
                <w:rFonts w:hint="eastAsia" w:asciiTheme="majorEastAsia" w:hAnsiTheme="majorEastAsia" w:eastAsiaTheme="majorEastAsia" w:cstheme="majorEastAsia"/>
                <w:color w:val="auto"/>
                <w:sz w:val="21"/>
                <w:szCs w:val="21"/>
                <w:highlight w:val="none"/>
                <w:lang w:val="en-US" w:eastAsia="zh-CN"/>
              </w:rPr>
              <w:t>255.7440</w:t>
            </w:r>
            <w:bookmarkEnd w:id="10"/>
            <w:r>
              <w:rPr>
                <w:rFonts w:hint="eastAsia" w:asciiTheme="majorEastAsia" w:hAnsiTheme="majorEastAsia" w:eastAsiaTheme="majorEastAsia" w:cstheme="majorEastAsia"/>
                <w:color w:val="auto"/>
                <w:sz w:val="21"/>
                <w:szCs w:val="21"/>
                <w:highlight w:val="none"/>
              </w:rPr>
              <w:t>万元（含税）</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单位分项报价见</w:t>
            </w:r>
            <w:r>
              <w:rPr>
                <w:rFonts w:hint="eastAsia" w:asciiTheme="majorEastAsia" w:hAnsiTheme="majorEastAsia" w:eastAsiaTheme="majorEastAsia" w:cstheme="majorEastAsia"/>
                <w:color w:val="auto"/>
                <w:sz w:val="21"/>
                <w:szCs w:val="21"/>
                <w:highlight w:val="none"/>
                <w:lang w:val="en-US" w:eastAsia="zh-CN"/>
              </w:rPr>
              <w:t>第三章</w:t>
            </w:r>
            <w:r>
              <w:rPr>
                <w:rFonts w:hint="eastAsia" w:asciiTheme="majorEastAsia" w:hAnsiTheme="majorEastAsia" w:eastAsiaTheme="majorEastAsia" w:cstheme="majorEastAsia"/>
                <w:color w:val="auto"/>
                <w:sz w:val="21"/>
                <w:szCs w:val="21"/>
                <w:highlight w:val="none"/>
              </w:rPr>
              <w:t>。总价报价超过最高限价的投标报价将被视作无效投标。</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18</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投标报价</w:t>
            </w:r>
          </w:p>
        </w:tc>
        <w:tc>
          <w:tcPr>
            <w:tcW w:w="6850" w:type="dxa"/>
            <w:tcBorders>
              <w:right w:val="single" w:color="auto" w:sz="4" w:space="0"/>
            </w:tcBorders>
            <w:vAlign w:val="center"/>
          </w:tcPr>
          <w:p>
            <w:pPr>
              <w:adjustRightInd w:val="0"/>
              <w:spacing w:line="240" w:lineRule="auto"/>
              <w:ind w:right="170" w:rightChars="50" w:firstLine="42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zh-TW" w:eastAsia="zh-TW"/>
              </w:rPr>
              <w:t>投标</w:t>
            </w:r>
            <w:r>
              <w:rPr>
                <w:rFonts w:hint="eastAsia" w:asciiTheme="majorEastAsia" w:hAnsiTheme="majorEastAsia" w:eastAsiaTheme="majorEastAsia" w:cstheme="majorEastAsia"/>
                <w:color w:val="auto"/>
                <w:sz w:val="21"/>
                <w:szCs w:val="21"/>
                <w:highlight w:val="none"/>
                <w:lang w:val="zh-TW"/>
              </w:rPr>
              <w:t>报价</w:t>
            </w:r>
            <w:r>
              <w:rPr>
                <w:rFonts w:hint="eastAsia" w:asciiTheme="majorEastAsia" w:hAnsiTheme="majorEastAsia" w:eastAsiaTheme="majorEastAsia" w:cstheme="majorEastAsia"/>
                <w:color w:val="auto"/>
                <w:sz w:val="21"/>
                <w:szCs w:val="21"/>
                <w:highlight w:val="none"/>
                <w:lang w:val="zh-TW" w:eastAsia="zh-TW"/>
              </w:rPr>
              <w:t>应包括：</w:t>
            </w:r>
            <w:r>
              <w:rPr>
                <w:rFonts w:hint="eastAsia" w:asciiTheme="majorEastAsia" w:hAnsiTheme="majorEastAsia" w:eastAsiaTheme="majorEastAsia" w:cstheme="majorEastAsia"/>
                <w:color w:val="auto"/>
                <w:sz w:val="21"/>
                <w:szCs w:val="21"/>
                <w:highlight w:val="none"/>
              </w:rPr>
              <w:t>投标人响应招标项目要求的全部工作内容的价格体现，包括</w:t>
            </w:r>
            <w:r>
              <w:rPr>
                <w:rFonts w:hint="default" w:ascii="宋体" w:hAnsi="宋体" w:eastAsia="宋体" w:cs="宋体"/>
                <w:color w:val="auto"/>
                <w:sz w:val="21"/>
                <w:szCs w:val="21"/>
                <w:highlight w:val="none"/>
                <w:lang w:val="en-US"/>
              </w:rPr>
              <w:t>但不限于</w:t>
            </w:r>
            <w:r>
              <w:rPr>
                <w:rFonts w:hint="eastAsia" w:asciiTheme="majorEastAsia" w:hAnsiTheme="majorEastAsia" w:eastAsiaTheme="majorEastAsia" w:cstheme="majorEastAsia"/>
                <w:color w:val="auto"/>
                <w:sz w:val="21"/>
                <w:szCs w:val="21"/>
                <w:highlight w:val="none"/>
              </w:rPr>
              <w:t>投标人完成本项目所需的一切费用以及招标文件规定的其他费用</w:t>
            </w:r>
            <w:r>
              <w:rPr>
                <w:rFonts w:hint="eastAsia" w:asciiTheme="majorEastAsia" w:hAnsiTheme="majorEastAsia" w:eastAsiaTheme="majorEastAsia" w:cstheme="majorEastAsia"/>
                <w:color w:val="auto"/>
                <w:sz w:val="21"/>
                <w:szCs w:val="21"/>
                <w:highlight w:val="none"/>
                <w:lang w:eastAsia="zh-CN"/>
              </w:rPr>
              <w:t>，需明确岗位设置及人工费用、耗材明细及费用、设备配置及费用、管理费用等</w:t>
            </w:r>
            <w:r>
              <w:rPr>
                <w:rFonts w:hint="eastAsia" w:asciiTheme="majorEastAsia" w:hAnsiTheme="majorEastAsia" w:eastAsiaTheme="majorEastAsia" w:cstheme="majorEastAsia"/>
                <w:color w:val="auto"/>
                <w:sz w:val="21"/>
                <w:szCs w:val="21"/>
                <w:highlight w:val="none"/>
              </w:rPr>
              <w:t>。（投标人报价需为含税价，并注明税率）</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19</w:t>
            </w:r>
          </w:p>
        </w:tc>
        <w:tc>
          <w:tcPr>
            <w:tcW w:w="1746" w:type="dxa"/>
            <w:vAlign w:val="center"/>
          </w:tcPr>
          <w:p>
            <w:pPr>
              <w:spacing w:line="240" w:lineRule="auto"/>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发票要求</w:t>
            </w:r>
          </w:p>
        </w:tc>
        <w:tc>
          <w:tcPr>
            <w:tcW w:w="6850" w:type="dxa"/>
            <w:tcBorders>
              <w:right w:val="single" w:color="auto" w:sz="4" w:space="0"/>
            </w:tcBorders>
            <w:vAlign w:val="center"/>
          </w:tcPr>
          <w:p>
            <w:pPr>
              <w:spacing w:line="240" w:lineRule="auto"/>
              <w:ind w:left="0" w:leftChars="0" w:right="170" w:rightChars="50" w:firstLine="420" w:firstLineChars="200"/>
              <w:rPr>
                <w:rFonts w:hint="eastAsia" w:asciiTheme="majorEastAsia" w:hAnsiTheme="majorEastAsia" w:eastAsiaTheme="majorEastAsia" w:cstheme="majorEastAsia"/>
                <w:color w:val="auto"/>
                <w:sz w:val="21"/>
                <w:szCs w:val="21"/>
                <w:highlight w:val="none"/>
                <w:lang w:val="en-US" w:eastAsia="zh-CN"/>
              </w:rPr>
            </w:pPr>
            <w:r>
              <w:rPr>
                <w:rFonts w:hint="eastAsia" w:asciiTheme="majorEastAsia" w:hAnsiTheme="majorEastAsia" w:eastAsiaTheme="majorEastAsia" w:cstheme="majorEastAsia"/>
                <w:snapToGrid w:val="0"/>
                <w:color w:val="auto"/>
                <w:sz w:val="21"/>
                <w:szCs w:val="21"/>
                <w:highlight w:val="none"/>
                <w:lang w:val="zh-CN"/>
              </w:rPr>
              <w:t>增值税</w:t>
            </w:r>
            <w:r>
              <w:rPr>
                <w:rFonts w:hint="eastAsia" w:asciiTheme="majorEastAsia" w:hAnsiTheme="majorEastAsia" w:eastAsiaTheme="majorEastAsia" w:cstheme="majorEastAsia"/>
                <w:snapToGrid w:val="0"/>
                <w:color w:val="auto"/>
                <w:sz w:val="21"/>
                <w:szCs w:val="21"/>
                <w:highlight w:val="none"/>
                <w:u w:val="single"/>
              </w:rPr>
              <w:t>专用</w:t>
            </w:r>
            <w:r>
              <w:rPr>
                <w:rFonts w:hint="eastAsia" w:asciiTheme="majorEastAsia" w:hAnsiTheme="majorEastAsia" w:eastAsiaTheme="majorEastAsia" w:cstheme="majorEastAsia"/>
                <w:snapToGrid w:val="0"/>
                <w:color w:val="auto"/>
                <w:sz w:val="21"/>
                <w:szCs w:val="21"/>
                <w:highlight w:val="none"/>
                <w:lang w:val="zh-CN"/>
              </w:rPr>
              <w:t>发票（免税产品提供免税证明）。</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20</w:t>
            </w:r>
          </w:p>
        </w:tc>
        <w:tc>
          <w:tcPr>
            <w:tcW w:w="1746" w:type="dxa"/>
            <w:vAlign w:val="center"/>
          </w:tcPr>
          <w:p>
            <w:pPr>
              <w:pStyle w:val="8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投标文件的真实性要求</w:t>
            </w:r>
          </w:p>
        </w:tc>
        <w:tc>
          <w:tcPr>
            <w:tcW w:w="6850" w:type="dxa"/>
            <w:tcBorders>
              <w:right w:val="single" w:color="auto" w:sz="4" w:space="0"/>
            </w:tcBorders>
            <w:vAlign w:val="center"/>
          </w:tcPr>
          <w:p>
            <w:pPr>
              <w:pStyle w:val="84"/>
              <w:ind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1、投标人所递交的投标文件（包括有关资料、澄清（如有））应真实可信，不存在虚假（包括隐瞒）。</w:t>
            </w:r>
          </w:p>
          <w:p>
            <w:pPr>
              <w:pStyle w:val="84"/>
              <w:ind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2、投标人声明（承诺）不存在限制投标情形和违反投标纪律要求的行为，但被发现存在限制投标情形和违反投标纪律要求的行为，构成隐瞒，属于虚假投标行为。</w:t>
            </w:r>
          </w:p>
          <w:p>
            <w:pPr>
              <w:pStyle w:val="84"/>
              <w:ind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3、若投标文件存在虚假，在评标阶段，评标小组应将该投标文件作无效投标处理；中标候选人确定后发现的，可以取消中标候选人或中标资格。被确定为中标人并签订合同的，有权解除合同，由此产生的一切法律责任由该中标人承担，且有权要求该中标人支付违约金或损害赔偿金。</w:t>
            </w:r>
          </w:p>
          <w:p>
            <w:pPr>
              <w:pStyle w:val="84"/>
              <w:ind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4、一经查实提供虚假资料将取消中标资格，其投标保证金不予退还。</w:t>
            </w:r>
          </w:p>
          <w:p>
            <w:pPr>
              <w:pStyle w:val="84"/>
              <w:ind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5、投标人存在虚假投标行为的，将在一定期限内限制其投标活动的。</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21</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评标小组</w:t>
            </w:r>
          </w:p>
        </w:tc>
        <w:tc>
          <w:tcPr>
            <w:tcW w:w="6850" w:type="dxa"/>
            <w:tcBorders>
              <w:right w:val="single" w:color="auto" w:sz="4" w:space="0"/>
            </w:tcBorders>
            <w:vAlign w:val="center"/>
          </w:tcPr>
          <w:p>
            <w:pPr>
              <w:ind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由招标人依法组建。</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22</w:t>
            </w:r>
          </w:p>
        </w:tc>
        <w:tc>
          <w:tcPr>
            <w:tcW w:w="1746" w:type="dxa"/>
            <w:vAlign w:val="center"/>
          </w:tcPr>
          <w:p>
            <w:pPr>
              <w:adjustRightInd w:val="0"/>
              <w:spacing w:line="38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snapToGrid w:val="0"/>
                <w:color w:val="auto"/>
                <w:sz w:val="21"/>
                <w:szCs w:val="21"/>
                <w:highlight w:val="none"/>
                <w:lang w:val="zh-CN"/>
              </w:rPr>
              <w:t>中标候选人及中标人</w:t>
            </w:r>
          </w:p>
        </w:tc>
        <w:tc>
          <w:tcPr>
            <w:tcW w:w="6850" w:type="dxa"/>
            <w:tcBorders>
              <w:right w:val="single" w:color="auto" w:sz="4" w:space="0"/>
            </w:tcBorders>
            <w:vAlign w:val="center"/>
          </w:tcPr>
          <w:p>
            <w:pPr>
              <w:spacing w:line="240" w:lineRule="auto"/>
              <w:ind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zh-CN" w:eastAsia="zh-CN" w:bidi="ar-SA"/>
              </w:rPr>
              <w:t>由评标小组推荐中标候选人数：</w:t>
            </w:r>
            <w:r>
              <w:rPr>
                <w:rFonts w:hint="eastAsia" w:asciiTheme="majorEastAsia" w:hAnsiTheme="majorEastAsia" w:eastAsiaTheme="majorEastAsia" w:cstheme="majorEastAsia"/>
                <w:color w:val="auto"/>
                <w:sz w:val="21"/>
                <w:szCs w:val="21"/>
                <w:highlight w:val="none"/>
                <w:lang w:val="en-US" w:eastAsia="zh-CN" w:bidi="ar-SA"/>
              </w:rPr>
              <w:t>3</w:t>
            </w:r>
            <w:r>
              <w:rPr>
                <w:rFonts w:hint="eastAsia" w:asciiTheme="majorEastAsia" w:hAnsiTheme="majorEastAsia" w:eastAsiaTheme="majorEastAsia" w:cstheme="majorEastAsia"/>
                <w:color w:val="auto"/>
                <w:sz w:val="21"/>
                <w:szCs w:val="21"/>
                <w:highlight w:val="none"/>
                <w:lang w:val="zh-CN" w:eastAsia="zh-CN" w:bidi="ar-SA"/>
              </w:rPr>
              <w:t>名。原则上选取综合得分第一中标候选人作为中标人，若第一中标候选人因自身原因放弃中标或被取消中标资格，可以根据中标候选人排名顺序顺延确定中标人，也可以重新招标。招标人将根据需要对评标出来的中标候选人进行必要的现场考察。</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23</w:t>
            </w:r>
          </w:p>
        </w:tc>
        <w:tc>
          <w:tcPr>
            <w:tcW w:w="1746" w:type="dxa"/>
            <w:vAlign w:val="center"/>
          </w:tcPr>
          <w:p>
            <w:pPr>
              <w:adjustRightInd w:val="0"/>
              <w:spacing w:line="38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snapToGrid w:val="0"/>
                <w:color w:val="auto"/>
                <w:sz w:val="21"/>
                <w:szCs w:val="21"/>
                <w:highlight w:val="none"/>
                <w:lang w:val="zh-CN"/>
              </w:rPr>
              <w:t>评标结果通知</w:t>
            </w:r>
          </w:p>
        </w:tc>
        <w:tc>
          <w:tcPr>
            <w:tcW w:w="6850" w:type="dxa"/>
            <w:tcBorders>
              <w:right w:val="single" w:color="auto" w:sz="4" w:space="0"/>
            </w:tcBorders>
            <w:vAlign w:val="center"/>
          </w:tcPr>
          <w:p>
            <w:pPr>
              <w:spacing w:line="240" w:lineRule="auto"/>
              <w:ind w:right="170" w:rightChars="50" w:firstLine="420"/>
              <w:rPr>
                <w:rFonts w:asciiTheme="majorEastAsia" w:hAnsiTheme="majorEastAsia" w:eastAsiaTheme="majorEastAsia" w:cstheme="majorEastAsia"/>
                <w:color w:val="auto"/>
                <w:sz w:val="21"/>
                <w:szCs w:val="21"/>
                <w:highlight w:val="none"/>
              </w:rPr>
            </w:pPr>
            <w:r>
              <w:rPr>
                <w:rFonts w:hint="eastAsia" w:ascii="宋体" w:hAnsi="宋体" w:eastAsia="宋体" w:cs="宋体"/>
                <w:snapToGrid w:val="0"/>
                <w:color w:val="auto"/>
                <w:sz w:val="21"/>
                <w:szCs w:val="21"/>
                <w:highlight w:val="none"/>
                <w:lang w:val="zh-CN"/>
              </w:rPr>
              <w:t>评标结果</w:t>
            </w:r>
            <w:r>
              <w:rPr>
                <w:rFonts w:hint="eastAsia" w:ascii="宋体" w:hAnsi="宋体" w:eastAsia="宋体" w:cs="宋体"/>
                <w:snapToGrid w:val="0"/>
                <w:color w:val="auto"/>
                <w:sz w:val="21"/>
                <w:szCs w:val="21"/>
                <w:highlight w:val="none"/>
              </w:rPr>
              <w:t>将会以</w:t>
            </w:r>
            <w:r>
              <w:rPr>
                <w:rFonts w:hint="default" w:ascii="宋体" w:hAnsi="宋体" w:eastAsia="宋体" w:cs="宋体"/>
                <w:snapToGrid w:val="0"/>
                <w:color w:val="auto"/>
                <w:sz w:val="21"/>
                <w:szCs w:val="21"/>
                <w:highlight w:val="none"/>
                <w:lang w:val="en-US"/>
              </w:rPr>
              <w:t>手机</w:t>
            </w:r>
            <w:r>
              <w:rPr>
                <w:rFonts w:hint="eastAsia" w:ascii="宋体" w:hAnsi="宋体" w:eastAsia="宋体" w:cs="宋体"/>
                <w:snapToGrid w:val="0"/>
                <w:color w:val="auto"/>
                <w:sz w:val="21"/>
                <w:szCs w:val="21"/>
                <w:highlight w:val="none"/>
              </w:rPr>
              <w:t>短信方式通知投标人</w:t>
            </w:r>
            <w:r>
              <w:rPr>
                <w:rFonts w:hint="eastAsia" w:asciiTheme="majorEastAsia" w:hAnsiTheme="majorEastAsia" w:eastAsiaTheme="majorEastAsia" w:cstheme="majorEastAsia"/>
                <w:color w:val="auto"/>
                <w:sz w:val="21"/>
                <w:szCs w:val="21"/>
                <w:highlight w:val="none"/>
                <w:lang w:val="en-US" w:eastAsia="zh-CN"/>
              </w:rPr>
              <w:t>（手机号码：</w:t>
            </w:r>
            <w:r>
              <w:rPr>
                <w:rFonts w:hint="eastAsia" w:asciiTheme="majorEastAsia" w:hAnsiTheme="majorEastAsia" w:eastAsiaTheme="majorEastAsia" w:cstheme="majorEastAsia"/>
                <w:color w:val="auto"/>
                <w:sz w:val="21"/>
                <w:szCs w:val="21"/>
                <w:highlight w:val="none"/>
                <w:lang w:val="en-US" w:eastAsia="zh-CN" w:bidi="ar-SA"/>
              </w:rPr>
              <w:t>18681690134）</w:t>
            </w:r>
            <w:r>
              <w:rPr>
                <w:rFonts w:hint="eastAsia" w:ascii="宋体" w:hAnsi="宋体" w:eastAsia="宋体" w:cs="宋体"/>
                <w:snapToGrid w:val="0"/>
                <w:color w:val="auto"/>
                <w:sz w:val="21"/>
                <w:szCs w:val="21"/>
                <w:highlight w:val="none"/>
                <w:lang w:val="zh-CN"/>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24</w:t>
            </w:r>
          </w:p>
        </w:tc>
        <w:tc>
          <w:tcPr>
            <w:tcW w:w="1746" w:type="dxa"/>
            <w:vAlign w:val="center"/>
          </w:tcPr>
          <w:p>
            <w:pPr>
              <w:pStyle w:val="9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zh-CN"/>
              </w:rPr>
              <w:t>授权代表有关要求</w:t>
            </w:r>
          </w:p>
        </w:tc>
        <w:tc>
          <w:tcPr>
            <w:tcW w:w="6850" w:type="dxa"/>
            <w:tcBorders>
              <w:right w:val="single" w:color="auto" w:sz="4" w:space="0"/>
            </w:tcBorders>
            <w:vAlign w:val="center"/>
          </w:tcPr>
          <w:p>
            <w:pPr>
              <w:widowControl/>
              <w:tabs>
                <w:tab w:val="left" w:pos="1119"/>
              </w:tabs>
              <w:topLinePunct/>
              <w:spacing w:line="400" w:lineRule="exact"/>
              <w:ind w:right="105" w:firstLine="420" w:firstLineChars="0"/>
              <w:jc w:val="left"/>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当授权代表参加投标时：</w:t>
            </w:r>
          </w:p>
          <w:p>
            <w:pPr>
              <w:widowControl/>
              <w:tabs>
                <w:tab w:val="left" w:pos="1119"/>
              </w:tabs>
              <w:topLinePunct/>
              <w:spacing w:line="400" w:lineRule="exact"/>
              <w:ind w:right="105" w:firstLine="468" w:firstLineChars="223"/>
              <w:jc w:val="left"/>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 xml:space="preserve">1、应当由授权代表递交投标文件，否则其投标文件将被拒收。 </w:t>
            </w:r>
          </w:p>
          <w:p>
            <w:pPr>
              <w:widowControl/>
              <w:tabs>
                <w:tab w:val="left" w:pos="1119"/>
              </w:tabs>
              <w:topLinePunct/>
              <w:spacing w:line="400" w:lineRule="exact"/>
              <w:ind w:right="105" w:firstLine="468" w:firstLineChars="223"/>
              <w:jc w:val="left"/>
              <w:rPr>
                <w:rFonts w:asciiTheme="majorEastAsia" w:hAnsiTheme="majorEastAsia" w:eastAsiaTheme="majorEastAsia" w:cstheme="majorEastAsia"/>
                <w:color w:val="auto"/>
                <w:sz w:val="21"/>
                <w:szCs w:val="21"/>
                <w:highlight w:val="none"/>
                <w:lang w:val="zh-CN"/>
              </w:rPr>
            </w:pPr>
            <w:r>
              <w:rPr>
                <w:rFonts w:hint="eastAsia" w:asciiTheme="majorEastAsia" w:hAnsiTheme="majorEastAsia" w:eastAsiaTheme="majorEastAsia" w:cstheme="majorEastAsia"/>
                <w:color w:val="auto"/>
                <w:sz w:val="21"/>
                <w:szCs w:val="21"/>
                <w:highlight w:val="none"/>
                <w:lang w:val="zh-CN"/>
              </w:rPr>
              <w:t>2、应当由授权代表参加开标会议，并进行开标和评标过程中所需要的相关资料签字。</w:t>
            </w:r>
          </w:p>
          <w:p>
            <w:pPr>
              <w:widowControl/>
              <w:tabs>
                <w:tab w:val="left" w:pos="1119"/>
              </w:tabs>
              <w:topLinePunct/>
              <w:spacing w:line="400" w:lineRule="exact"/>
              <w:ind w:right="105" w:firstLine="420" w:firstLineChars="0"/>
              <w:jc w:val="left"/>
              <w:rPr>
                <w:rFonts w:asciiTheme="majorEastAsia" w:hAnsiTheme="majorEastAsia" w:eastAsiaTheme="majorEastAsia" w:cstheme="majorEastAsia"/>
                <w:color w:val="auto"/>
                <w:highlight w:val="none"/>
                <w:lang w:val="zh-CN"/>
              </w:rPr>
            </w:pPr>
            <w:r>
              <w:rPr>
                <w:rStyle w:val="113"/>
                <w:rFonts w:hint="eastAsia" w:asciiTheme="majorEastAsia" w:hAnsiTheme="majorEastAsia" w:eastAsiaTheme="majorEastAsia" w:cstheme="majorEastAsia"/>
                <w:color w:val="auto"/>
                <w:sz w:val="21"/>
                <w:szCs w:val="21"/>
                <w:highlight w:val="none"/>
                <w:lang w:val="zh-CN"/>
              </w:rPr>
              <w:t>需提供投标单位为授权代表缴纳社保的</w:t>
            </w:r>
            <w:r>
              <w:rPr>
                <w:rFonts w:hint="eastAsia" w:asciiTheme="majorEastAsia" w:hAnsiTheme="majorEastAsia" w:eastAsiaTheme="majorEastAsia" w:cstheme="majorEastAsia"/>
                <w:color w:val="auto"/>
                <w:sz w:val="21"/>
                <w:szCs w:val="21"/>
                <w:highlight w:val="none"/>
              </w:rPr>
              <w:t>书面</w:t>
            </w:r>
            <w:r>
              <w:rPr>
                <w:rStyle w:val="113"/>
                <w:rFonts w:hint="eastAsia" w:asciiTheme="majorEastAsia" w:hAnsiTheme="majorEastAsia" w:eastAsiaTheme="majorEastAsia" w:cstheme="majorEastAsia"/>
                <w:color w:val="auto"/>
                <w:sz w:val="21"/>
                <w:szCs w:val="21"/>
                <w:highlight w:val="none"/>
                <w:lang w:val="zh-CN"/>
              </w:rPr>
              <w:t>承诺函</w:t>
            </w:r>
            <w:r>
              <w:rPr>
                <w:rStyle w:val="113"/>
                <w:rFonts w:hint="eastAsia" w:asciiTheme="majorEastAsia" w:hAnsiTheme="majorEastAsia" w:eastAsiaTheme="majorEastAsia" w:cstheme="majorEastAsia"/>
                <w:color w:val="auto"/>
                <w:sz w:val="21"/>
                <w:szCs w:val="21"/>
                <w:highlight w:val="none"/>
              </w:rPr>
              <w:t>或社保缴纳证明材料</w:t>
            </w:r>
            <w:r>
              <w:rPr>
                <w:rFonts w:hint="eastAsia" w:asciiTheme="majorEastAsia" w:hAnsiTheme="majorEastAsia" w:eastAsiaTheme="majorEastAsia" w:cstheme="majorEastAsia"/>
                <w:color w:val="auto"/>
                <w:sz w:val="21"/>
                <w:szCs w:val="21"/>
                <w:highlight w:val="none"/>
                <w:lang w:val="zh-CN"/>
              </w:rPr>
              <w:t>。</w:t>
            </w:r>
            <w:r>
              <w:rPr>
                <w:rStyle w:val="113"/>
                <w:rFonts w:hint="eastAsia" w:asciiTheme="majorEastAsia" w:hAnsiTheme="majorEastAsia" w:eastAsiaTheme="majorEastAsia" w:cstheme="majorEastAsia"/>
                <w:color w:val="auto"/>
                <w:sz w:val="21"/>
                <w:szCs w:val="21"/>
                <w:highlight w:val="none"/>
                <w:lang w:val="zh-CN"/>
              </w:rPr>
              <w:t>注：（授权代表的授权委托书、缴纳社保承诺函</w:t>
            </w:r>
            <w:r>
              <w:rPr>
                <w:rStyle w:val="113"/>
                <w:rFonts w:hint="eastAsia" w:asciiTheme="majorEastAsia" w:hAnsiTheme="majorEastAsia" w:eastAsiaTheme="majorEastAsia" w:cstheme="majorEastAsia"/>
                <w:color w:val="auto"/>
                <w:sz w:val="21"/>
                <w:szCs w:val="21"/>
                <w:highlight w:val="none"/>
              </w:rPr>
              <w:t>或社保缴纳证明材料</w:t>
            </w:r>
            <w:r>
              <w:rPr>
                <w:rStyle w:val="113"/>
                <w:rFonts w:hint="eastAsia" w:asciiTheme="majorEastAsia" w:hAnsiTheme="majorEastAsia" w:eastAsiaTheme="majorEastAsia" w:cstheme="majorEastAsia"/>
                <w:color w:val="auto"/>
                <w:sz w:val="21"/>
                <w:szCs w:val="21"/>
                <w:highlight w:val="none"/>
                <w:lang w:val="zh-CN"/>
              </w:rPr>
              <w:t>应当制作一式两份，一份由授权代表随身携带，在递交投标文件时出示，另外一份装订在投标文件中）。</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84"/>
              <w:spacing w:line="36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25</w:t>
            </w:r>
          </w:p>
        </w:tc>
        <w:tc>
          <w:tcPr>
            <w:tcW w:w="1746" w:type="dxa"/>
            <w:vAlign w:val="center"/>
          </w:tcPr>
          <w:p>
            <w:pPr>
              <w:pStyle w:val="8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答疑</w:t>
            </w:r>
          </w:p>
        </w:tc>
        <w:tc>
          <w:tcPr>
            <w:tcW w:w="6850" w:type="dxa"/>
            <w:tcBorders>
              <w:right w:val="single" w:color="auto" w:sz="4" w:space="0"/>
            </w:tcBorders>
            <w:vAlign w:val="center"/>
          </w:tcPr>
          <w:p>
            <w:pPr>
              <w:pStyle w:val="84"/>
              <w:ind w:left="170" w:leftChars="50" w:right="170" w:rightChars="50" w:firstLine="210" w:firstLineChars="10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本项目不组织答疑会，如有需要另行通知。</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861" w:hRule="atLeast"/>
          <w:jc w:val="center"/>
        </w:trPr>
        <w:tc>
          <w:tcPr>
            <w:tcW w:w="599" w:type="dxa"/>
            <w:tcBorders>
              <w:left w:val="single" w:color="auto" w:sz="4" w:space="0"/>
            </w:tcBorders>
            <w:vAlign w:val="center"/>
          </w:tcPr>
          <w:p>
            <w:pPr>
              <w:pStyle w:val="84"/>
              <w:spacing w:line="36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26</w:t>
            </w:r>
          </w:p>
        </w:tc>
        <w:tc>
          <w:tcPr>
            <w:tcW w:w="1746" w:type="dxa"/>
            <w:vAlign w:val="center"/>
          </w:tcPr>
          <w:p>
            <w:pPr>
              <w:pStyle w:val="8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val="zh-CN"/>
              </w:rPr>
              <w:t>投标</w:t>
            </w:r>
            <w:r>
              <w:rPr>
                <w:rFonts w:hint="eastAsia" w:asciiTheme="majorEastAsia" w:hAnsiTheme="majorEastAsia" w:eastAsiaTheme="majorEastAsia" w:cstheme="majorEastAsia"/>
                <w:color w:val="auto"/>
                <w:sz w:val="21"/>
                <w:szCs w:val="21"/>
                <w:highlight w:val="none"/>
              </w:rPr>
              <w:t>保证金</w:t>
            </w:r>
          </w:p>
        </w:tc>
        <w:tc>
          <w:tcPr>
            <w:tcW w:w="6850" w:type="dxa"/>
            <w:tcBorders>
              <w:right w:val="single" w:color="auto" w:sz="4" w:space="0"/>
            </w:tcBorders>
            <w:vAlign w:val="center"/>
          </w:tcPr>
          <w:p>
            <w:pPr>
              <w:ind w:left="105"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金    额：</w:t>
            </w:r>
            <w:r>
              <w:rPr>
                <w:rFonts w:hint="eastAsia" w:asciiTheme="majorEastAsia" w:hAnsiTheme="majorEastAsia" w:eastAsiaTheme="majorEastAsia" w:cstheme="majorEastAsia"/>
                <w:color w:val="auto"/>
                <w:sz w:val="21"/>
                <w:szCs w:val="21"/>
                <w:highlight w:val="none"/>
                <w:lang w:val="en-US" w:eastAsia="zh-CN"/>
              </w:rPr>
              <w:t>1000</w:t>
            </w:r>
            <w:r>
              <w:rPr>
                <w:rFonts w:hint="eastAsia" w:asciiTheme="majorEastAsia" w:hAnsiTheme="majorEastAsia" w:eastAsiaTheme="majorEastAsia" w:cstheme="majorEastAsia"/>
                <w:color w:val="auto"/>
                <w:sz w:val="21"/>
                <w:szCs w:val="21"/>
                <w:highlight w:val="none"/>
              </w:rPr>
              <w:t>00</w:t>
            </w:r>
            <w:r>
              <w:rPr>
                <w:rFonts w:hint="eastAsia" w:asciiTheme="majorEastAsia" w:hAnsiTheme="majorEastAsia" w:eastAsiaTheme="majorEastAsia" w:cstheme="majorEastAsia"/>
                <w:color w:val="auto"/>
                <w:sz w:val="21"/>
                <w:szCs w:val="21"/>
                <w:highlight w:val="none"/>
                <w:lang w:val="en-US" w:eastAsia="zh-CN"/>
              </w:rPr>
              <w:t>.00</w:t>
            </w:r>
            <w:r>
              <w:rPr>
                <w:rFonts w:hint="eastAsia" w:asciiTheme="majorEastAsia" w:hAnsiTheme="majorEastAsia" w:eastAsiaTheme="majorEastAsia" w:cstheme="majorEastAsia"/>
                <w:color w:val="auto"/>
                <w:sz w:val="21"/>
                <w:szCs w:val="21"/>
                <w:highlight w:val="none"/>
              </w:rPr>
              <w:t>元（人民币大写：</w:t>
            </w:r>
            <w:r>
              <w:rPr>
                <w:rFonts w:hint="eastAsia" w:asciiTheme="majorEastAsia" w:hAnsiTheme="majorEastAsia" w:eastAsiaTheme="majorEastAsia" w:cstheme="majorEastAsia"/>
                <w:color w:val="auto"/>
                <w:sz w:val="21"/>
                <w:szCs w:val="21"/>
                <w:highlight w:val="none"/>
                <w:lang w:eastAsia="zh-CN"/>
              </w:rPr>
              <w:t>壹拾</w:t>
            </w:r>
            <w:r>
              <w:rPr>
                <w:rFonts w:hint="eastAsia" w:asciiTheme="majorEastAsia" w:hAnsiTheme="majorEastAsia" w:eastAsiaTheme="majorEastAsia" w:cstheme="majorEastAsia"/>
                <w:color w:val="auto"/>
                <w:sz w:val="21"/>
                <w:szCs w:val="21"/>
                <w:highlight w:val="none"/>
              </w:rPr>
              <w:t>万元整）。</w:t>
            </w:r>
          </w:p>
          <w:p>
            <w:pPr>
              <w:ind w:left="105" w:firstLine="42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账户名称：四川东辰(集团)股份有限公司</w:t>
            </w:r>
          </w:p>
          <w:p>
            <w:pPr>
              <w:ind w:left="105" w:firstLine="420"/>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银行账号：51001658694059001035</w:t>
            </w:r>
          </w:p>
          <w:p>
            <w:pPr>
              <w:ind w:left="105" w:firstLine="420"/>
              <w:rPr>
                <w:rFonts w:hint="eastAsia" w:asciiTheme="majorEastAsia" w:hAnsiTheme="majorEastAsia" w:eastAsiaTheme="majorEastAsia" w:cstheme="majorEastAsia"/>
                <w:color w:val="auto"/>
                <w:sz w:val="21"/>
                <w:szCs w:val="21"/>
                <w:highlight w:val="none"/>
                <w:lang w:eastAsia="zh-CN"/>
              </w:rPr>
            </w:pPr>
            <w:r>
              <w:rPr>
                <w:rFonts w:hint="eastAsia" w:asciiTheme="majorEastAsia" w:hAnsiTheme="majorEastAsia" w:eastAsiaTheme="majorEastAsia" w:cstheme="majorEastAsia"/>
                <w:color w:val="auto"/>
                <w:sz w:val="21"/>
                <w:szCs w:val="21"/>
                <w:highlight w:val="none"/>
              </w:rPr>
              <w:t>开户银行：中国建设银行股份有限公司绵阳火车客站支行</w:t>
            </w:r>
          </w:p>
          <w:p>
            <w:pPr>
              <w:ind w:left="105"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交款方式：1、银行转账形式；2、银行电汇形式；3、网上银行转账形式。不接受以现金方式交纳的保证金，不接受个人账户代缴保证金。交纳保证金的付款人名称须与投标人名称一致。</w:t>
            </w:r>
          </w:p>
          <w:p>
            <w:pPr>
              <w:ind w:left="105" w:right="170" w:rightChars="50" w:firstLine="42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投标保证金交款截止时间：投标截止日前一天14:00</w:t>
            </w:r>
            <w:r>
              <w:rPr>
                <w:rFonts w:hint="eastAsia" w:asciiTheme="majorEastAsia" w:hAnsiTheme="majorEastAsia" w:eastAsiaTheme="majorEastAsia" w:cstheme="majorEastAsia"/>
                <w:color w:val="auto"/>
                <w:sz w:val="21"/>
                <w:szCs w:val="21"/>
                <w:highlight w:val="none"/>
                <w:lang w:eastAsia="zh-CN"/>
              </w:rPr>
              <w:t>前</w:t>
            </w:r>
            <w:r>
              <w:rPr>
                <w:rFonts w:hint="eastAsia" w:asciiTheme="majorEastAsia" w:hAnsiTheme="majorEastAsia" w:eastAsiaTheme="majorEastAsia" w:cstheme="majorEastAsia"/>
                <w:color w:val="auto"/>
                <w:sz w:val="21"/>
                <w:szCs w:val="21"/>
                <w:highlight w:val="none"/>
              </w:rPr>
              <w:t>(投标保证金的交纳以银行到账时间为准)。</w:t>
            </w:r>
          </w:p>
          <w:p>
            <w:pPr>
              <w:snapToGrid w:val="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请在银行回单备注栏填写“项目名称”保证金。（仅用于查帐）</w:t>
            </w:r>
          </w:p>
          <w:p>
            <w:pPr>
              <w:snapToGrid w:val="0"/>
              <w:ind w:left="0" w:leftChars="0" w:firstLine="420" w:firstLineChars="20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招标</w:t>
            </w:r>
            <w:r>
              <w:rPr>
                <w:rFonts w:hint="eastAsia" w:asciiTheme="majorEastAsia" w:hAnsiTheme="majorEastAsia" w:eastAsiaTheme="majorEastAsia" w:cstheme="majorEastAsia"/>
                <w:color w:val="auto"/>
                <w:sz w:val="21"/>
                <w:szCs w:val="21"/>
                <w:highlight w:val="none"/>
                <w:lang w:val="en-US" w:eastAsia="zh-CN"/>
              </w:rPr>
              <w:t>人</w:t>
            </w:r>
            <w:r>
              <w:rPr>
                <w:rFonts w:hint="eastAsia" w:asciiTheme="majorEastAsia" w:hAnsiTheme="majorEastAsia" w:eastAsiaTheme="majorEastAsia" w:cstheme="majorEastAsia"/>
                <w:color w:val="auto"/>
                <w:sz w:val="21"/>
                <w:szCs w:val="21"/>
                <w:highlight w:val="none"/>
              </w:rPr>
              <w:t>应当在中标候选人公示结束后</w:t>
            </w:r>
            <w:bookmarkStart w:id="11" w:name="OLE_LINK8"/>
            <w:r>
              <w:rPr>
                <w:rFonts w:hint="eastAsia" w:asciiTheme="majorEastAsia" w:hAnsiTheme="majorEastAsia" w:eastAsiaTheme="majorEastAsia" w:cstheme="majorEastAsia"/>
                <w:color w:val="auto"/>
                <w:sz w:val="21"/>
                <w:szCs w:val="21"/>
                <w:highlight w:val="none"/>
              </w:rPr>
              <w:t>5个工作日内</w:t>
            </w:r>
            <w:r>
              <w:rPr>
                <w:rFonts w:hint="eastAsia" w:asciiTheme="majorEastAsia" w:hAnsiTheme="majorEastAsia" w:eastAsiaTheme="majorEastAsia" w:cstheme="majorEastAsia"/>
                <w:color w:val="auto"/>
                <w:sz w:val="21"/>
                <w:szCs w:val="21"/>
                <w:highlight w:val="none"/>
                <w:lang w:val="en-US" w:eastAsia="zh-CN"/>
              </w:rPr>
              <w:t>一次性无息退还</w:t>
            </w:r>
            <w:bookmarkEnd w:id="11"/>
            <w:r>
              <w:rPr>
                <w:rFonts w:hint="eastAsia" w:asciiTheme="majorEastAsia" w:hAnsiTheme="majorEastAsia" w:eastAsiaTheme="majorEastAsia" w:cstheme="majorEastAsia"/>
                <w:color w:val="auto"/>
                <w:sz w:val="21"/>
                <w:szCs w:val="21"/>
                <w:highlight w:val="none"/>
              </w:rPr>
              <w:t>非中标候选人的投标保证金。</w:t>
            </w:r>
          </w:p>
          <w:p>
            <w:pPr>
              <w:pStyle w:val="44"/>
              <w:spacing w:line="360" w:lineRule="auto"/>
              <w:ind w:firstLine="420" w:firstLineChars="20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中标人的投标保证金在合同签订后</w:t>
            </w:r>
            <w:r>
              <w:rPr>
                <w:rFonts w:hint="eastAsia" w:asciiTheme="majorEastAsia" w:hAnsiTheme="majorEastAsia" w:eastAsiaTheme="majorEastAsia" w:cstheme="majorEastAsia"/>
                <w:color w:val="auto"/>
                <w:sz w:val="21"/>
                <w:szCs w:val="21"/>
                <w:highlight w:val="none"/>
                <w:lang w:eastAsia="zh-CN"/>
              </w:rPr>
              <w:t>，</w:t>
            </w:r>
            <w:r>
              <w:rPr>
                <w:rFonts w:hint="eastAsia" w:asciiTheme="majorEastAsia" w:hAnsiTheme="majorEastAsia" w:eastAsiaTheme="majorEastAsia" w:cstheme="majorEastAsia"/>
                <w:color w:val="auto"/>
                <w:sz w:val="21"/>
                <w:szCs w:val="21"/>
                <w:highlight w:val="none"/>
              </w:rPr>
              <w:t>5个工作日内</w:t>
            </w:r>
            <w:r>
              <w:rPr>
                <w:rFonts w:hint="eastAsia" w:asciiTheme="majorEastAsia" w:hAnsiTheme="majorEastAsia" w:eastAsiaTheme="majorEastAsia" w:cstheme="majorEastAsia"/>
                <w:color w:val="auto"/>
                <w:sz w:val="21"/>
                <w:szCs w:val="21"/>
                <w:highlight w:val="none"/>
                <w:lang w:val="en-US" w:eastAsia="zh-CN"/>
              </w:rPr>
              <w:t>一次性无息退还。</w:t>
            </w:r>
          </w:p>
          <w:p>
            <w:pPr>
              <w:pStyle w:val="84"/>
              <w:ind w:right="170" w:rightChars="5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投标人在投标截止时间前撤回已提交的投标文件的，招标</w:t>
            </w:r>
            <w:r>
              <w:rPr>
                <w:rFonts w:hint="eastAsia" w:asciiTheme="majorEastAsia" w:hAnsiTheme="majorEastAsia" w:eastAsiaTheme="majorEastAsia" w:cstheme="majorEastAsia"/>
                <w:color w:val="auto"/>
                <w:sz w:val="21"/>
                <w:szCs w:val="21"/>
                <w:highlight w:val="none"/>
                <w:lang w:val="en-US" w:eastAsia="zh-CN"/>
              </w:rPr>
              <w:t>人</w:t>
            </w:r>
            <w:r>
              <w:rPr>
                <w:rFonts w:hint="eastAsia" w:asciiTheme="majorEastAsia" w:hAnsiTheme="majorEastAsia" w:eastAsiaTheme="majorEastAsia" w:cstheme="majorEastAsia"/>
                <w:color w:val="auto"/>
                <w:sz w:val="21"/>
                <w:szCs w:val="21"/>
                <w:highlight w:val="none"/>
              </w:rPr>
              <w:t>自收到投标人书面撤回通知之日起5个工作日内，退还已收取的投标保证金，但因投标人自身原因导致的无法及时退还的除外。</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861" w:hRule="atLeast"/>
          <w:jc w:val="center"/>
        </w:trPr>
        <w:tc>
          <w:tcPr>
            <w:tcW w:w="599" w:type="dxa"/>
            <w:tcBorders>
              <w:left w:val="single" w:color="auto" w:sz="4" w:space="0"/>
            </w:tcBorders>
            <w:vAlign w:val="center"/>
          </w:tcPr>
          <w:p>
            <w:pPr>
              <w:pStyle w:val="84"/>
              <w:spacing w:line="360" w:lineRule="exact"/>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27</w:t>
            </w:r>
          </w:p>
        </w:tc>
        <w:tc>
          <w:tcPr>
            <w:tcW w:w="1746" w:type="dxa"/>
            <w:vAlign w:val="center"/>
          </w:tcPr>
          <w:p>
            <w:pPr>
              <w:pStyle w:val="84"/>
              <w:ind w:left="170" w:leftChars="50" w:right="170" w:rightChars="50"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现场勘探</w:t>
            </w:r>
          </w:p>
        </w:tc>
        <w:tc>
          <w:tcPr>
            <w:tcW w:w="6850" w:type="dxa"/>
            <w:tcBorders>
              <w:right w:val="single" w:color="auto" w:sz="4" w:space="0"/>
            </w:tcBorders>
            <w:vAlign w:val="center"/>
          </w:tcPr>
          <w:p>
            <w:pPr>
              <w:pStyle w:val="84"/>
              <w:ind w:right="170" w:rightChars="50"/>
              <w:rPr>
                <w:rFonts w:asciiTheme="majorEastAsia" w:hAnsiTheme="majorEastAsia" w:eastAsiaTheme="majorEastAsia" w:cstheme="majorEastAsia"/>
                <w:color w:val="auto"/>
                <w:sz w:val="21"/>
                <w:szCs w:val="21"/>
                <w:highlight w:val="none"/>
              </w:rPr>
            </w:pPr>
            <w:r>
              <w:rPr>
                <w:rFonts w:asciiTheme="majorEastAsia" w:hAnsiTheme="majorEastAsia" w:eastAsiaTheme="majorEastAsia" w:cstheme="majorEastAsia"/>
                <w:color w:val="auto"/>
                <w:sz w:val="21"/>
                <w:szCs w:val="21"/>
                <w:highlight w:val="none"/>
              </w:rPr>
              <w:t>招标文件发出后，由投标人自行组织安排进行</w:t>
            </w:r>
            <w:r>
              <w:rPr>
                <w:rFonts w:hint="eastAsia" w:asciiTheme="majorEastAsia" w:hAnsiTheme="majorEastAsia" w:eastAsiaTheme="majorEastAsia" w:cstheme="majorEastAsia"/>
                <w:color w:val="auto"/>
                <w:sz w:val="21"/>
                <w:szCs w:val="21"/>
                <w:highlight w:val="none"/>
              </w:rPr>
              <w:t>现场</w:t>
            </w:r>
            <w:r>
              <w:rPr>
                <w:rFonts w:asciiTheme="majorEastAsia" w:hAnsiTheme="majorEastAsia" w:eastAsiaTheme="majorEastAsia" w:cstheme="majorEastAsia"/>
                <w:color w:val="auto"/>
                <w:sz w:val="21"/>
                <w:szCs w:val="21"/>
                <w:highlight w:val="none"/>
              </w:rPr>
              <w:t>踏勘，</w:t>
            </w:r>
            <w:r>
              <w:rPr>
                <w:rFonts w:hint="eastAsia" w:asciiTheme="majorEastAsia" w:hAnsiTheme="majorEastAsia" w:eastAsiaTheme="majorEastAsia" w:cstheme="majorEastAsia"/>
                <w:color w:val="auto"/>
                <w:sz w:val="21"/>
                <w:szCs w:val="21"/>
                <w:highlight w:val="none"/>
              </w:rPr>
              <w:t>招标人可协助联系项目现场人员</w:t>
            </w:r>
            <w:r>
              <w:rPr>
                <w:rFonts w:asciiTheme="majorEastAsia" w:hAnsiTheme="majorEastAsia" w:eastAsiaTheme="majorEastAsia" w:cstheme="majorEastAsia"/>
                <w:color w:val="auto"/>
                <w:sz w:val="21"/>
                <w:szCs w:val="21"/>
                <w:highlight w:val="none"/>
              </w:rPr>
              <w:t>配合</w:t>
            </w:r>
            <w:r>
              <w:rPr>
                <w:rFonts w:hint="eastAsia" w:asciiTheme="majorEastAsia" w:hAnsiTheme="majorEastAsia" w:eastAsiaTheme="majorEastAsia" w:cstheme="majorEastAsia"/>
                <w:color w:val="auto"/>
                <w:sz w:val="21"/>
                <w:szCs w:val="21"/>
                <w:highlight w:val="none"/>
              </w:rPr>
              <w:t>，</w:t>
            </w:r>
            <w:r>
              <w:rPr>
                <w:rFonts w:asciiTheme="majorEastAsia" w:hAnsiTheme="majorEastAsia" w:eastAsiaTheme="majorEastAsia" w:cstheme="majorEastAsia"/>
                <w:color w:val="auto"/>
                <w:sz w:val="21"/>
                <w:szCs w:val="21"/>
                <w:highlight w:val="none"/>
              </w:rPr>
              <w:t>以使投标人充分了解本项目周边状况、现场条件、现场布置情况和可能影响到投标人投标报价的其他所有事项。</w:t>
            </w:r>
            <w:r>
              <w:rPr>
                <w:rFonts w:hint="eastAsia" w:asciiTheme="majorEastAsia" w:hAnsiTheme="majorEastAsia" w:eastAsiaTheme="majorEastAsia" w:cstheme="majorEastAsia"/>
                <w:color w:val="auto"/>
                <w:sz w:val="21"/>
                <w:szCs w:val="21"/>
                <w:highlight w:val="none"/>
              </w:rPr>
              <w:t>招标人</w:t>
            </w:r>
            <w:r>
              <w:rPr>
                <w:rFonts w:asciiTheme="majorEastAsia" w:hAnsiTheme="majorEastAsia" w:eastAsiaTheme="majorEastAsia" w:cstheme="majorEastAsia"/>
                <w:color w:val="auto"/>
                <w:sz w:val="21"/>
                <w:szCs w:val="21"/>
                <w:highlight w:val="none"/>
              </w:rPr>
              <w:t>在踏勘现场中介绍的场地和相关的周边环境情况，供投标人在编制投标文件时参考，</w:t>
            </w:r>
            <w:r>
              <w:rPr>
                <w:rFonts w:hint="eastAsia" w:asciiTheme="majorEastAsia" w:hAnsiTheme="majorEastAsia" w:eastAsiaTheme="majorEastAsia" w:cstheme="majorEastAsia"/>
                <w:color w:val="auto"/>
                <w:sz w:val="21"/>
                <w:szCs w:val="21"/>
                <w:highlight w:val="none"/>
              </w:rPr>
              <w:t>招标人</w:t>
            </w:r>
            <w:r>
              <w:rPr>
                <w:rFonts w:asciiTheme="majorEastAsia" w:hAnsiTheme="majorEastAsia" w:eastAsiaTheme="majorEastAsia" w:cstheme="majorEastAsia"/>
                <w:color w:val="auto"/>
                <w:sz w:val="21"/>
                <w:szCs w:val="21"/>
                <w:highlight w:val="none"/>
              </w:rPr>
              <w:t>不对投标人据此作出的判断和决策负责。投标人递交的投标文件，视为投标人已对现场进行了充分考察，且充分考虑了现场因素。投标单位中标后，不得以不完全了解现场情况为由而向采购人提出任何索赔或加价的要求，对此采购人不承担任何责任并将不</w:t>
            </w:r>
            <w:r>
              <w:rPr>
                <w:rFonts w:hint="eastAsia" w:asciiTheme="majorEastAsia" w:hAnsiTheme="majorEastAsia" w:eastAsiaTheme="majorEastAsia" w:cstheme="majorEastAsia"/>
                <w:color w:val="auto"/>
                <w:sz w:val="21"/>
                <w:szCs w:val="21"/>
                <w:highlight w:val="none"/>
              </w:rPr>
              <w:t>做</w:t>
            </w:r>
            <w:r>
              <w:rPr>
                <w:rFonts w:asciiTheme="majorEastAsia" w:hAnsiTheme="majorEastAsia" w:eastAsiaTheme="majorEastAsia" w:cstheme="majorEastAsia"/>
                <w:color w:val="auto"/>
                <w:sz w:val="21"/>
                <w:szCs w:val="21"/>
                <w:highlight w:val="none"/>
              </w:rPr>
              <w:t>任何答复</w:t>
            </w:r>
            <w:r>
              <w:rPr>
                <w:rFonts w:hint="eastAsia" w:asciiTheme="majorEastAsia" w:hAnsiTheme="majorEastAsia" w:eastAsiaTheme="majorEastAsia" w:cstheme="majorEastAsia"/>
                <w:color w:val="auto"/>
                <w:sz w:val="21"/>
                <w:szCs w:val="21"/>
                <w:highlight w:val="none"/>
              </w:rPr>
              <w:t>，勘查现场</w:t>
            </w:r>
            <w:r>
              <w:rPr>
                <w:rFonts w:asciiTheme="majorEastAsia" w:hAnsiTheme="majorEastAsia" w:eastAsiaTheme="majorEastAsia" w:cstheme="majorEastAsia"/>
                <w:color w:val="auto"/>
                <w:sz w:val="21"/>
                <w:szCs w:val="21"/>
                <w:highlight w:val="none"/>
              </w:rPr>
              <w:t>费用自理</w:t>
            </w:r>
            <w:r>
              <w:rPr>
                <w:rFonts w:hint="eastAsia" w:asciiTheme="majorEastAsia" w:hAnsiTheme="majorEastAsia" w:eastAsiaTheme="majorEastAsia" w:cstheme="majorEastAsia"/>
                <w:color w:val="auto"/>
                <w:sz w:val="21"/>
                <w:szCs w:val="21"/>
                <w:highlight w:val="none"/>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861" w:hRule="atLeast"/>
          <w:jc w:val="center"/>
        </w:trPr>
        <w:tc>
          <w:tcPr>
            <w:tcW w:w="599" w:type="dxa"/>
            <w:tcBorders>
              <w:left w:val="single" w:color="auto" w:sz="4" w:space="0"/>
            </w:tcBorders>
            <w:vAlign w:val="center"/>
          </w:tcPr>
          <w:p>
            <w:pPr>
              <w:pStyle w:val="84"/>
              <w:spacing w:line="360" w:lineRule="exact"/>
              <w:ind w:left="170" w:leftChars="50" w:right="170" w:rightChars="50" w:firstLine="0" w:firstLineChars="0"/>
              <w:jc w:val="center"/>
              <w:rPr>
                <w:rFonts w:hint="default" w:asciiTheme="majorEastAsia" w:hAnsiTheme="majorEastAsia" w:eastAsiaTheme="majorEastAsia" w:cstheme="majorEastAsia"/>
                <w:color w:val="auto"/>
                <w:sz w:val="21"/>
                <w:szCs w:val="21"/>
                <w:highlight w:val="none"/>
                <w:lang w:val="en-US" w:eastAsia="zh-CN"/>
              </w:rPr>
            </w:pPr>
            <w:r>
              <w:rPr>
                <w:rFonts w:hint="eastAsia" w:asciiTheme="majorEastAsia" w:hAnsiTheme="majorEastAsia" w:eastAsiaTheme="majorEastAsia" w:cstheme="majorEastAsia"/>
                <w:color w:val="auto"/>
                <w:sz w:val="21"/>
                <w:szCs w:val="21"/>
                <w:highlight w:val="none"/>
                <w:lang w:val="en-US" w:eastAsia="zh-CN"/>
              </w:rPr>
              <w:t>28</w:t>
            </w:r>
          </w:p>
        </w:tc>
        <w:tc>
          <w:tcPr>
            <w:tcW w:w="1746" w:type="dxa"/>
            <w:vAlign w:val="center"/>
          </w:tcPr>
          <w:p>
            <w:pPr>
              <w:pStyle w:val="84"/>
              <w:ind w:left="170" w:leftChars="50" w:right="170" w:rightChars="50" w:firstLine="0" w:firstLineChars="0"/>
              <w:jc w:val="center"/>
              <w:rPr>
                <w:rFonts w:hint="default" w:asciiTheme="majorEastAsia" w:hAnsiTheme="majorEastAsia" w:eastAsiaTheme="majorEastAsia" w:cstheme="majorEastAsia"/>
                <w:color w:val="auto"/>
                <w:sz w:val="21"/>
                <w:szCs w:val="21"/>
                <w:highlight w:val="none"/>
                <w:lang w:val="en-US" w:eastAsia="zh-CN"/>
              </w:rPr>
            </w:pPr>
            <w:r>
              <w:rPr>
                <w:rFonts w:hint="eastAsia" w:asciiTheme="majorEastAsia" w:hAnsiTheme="majorEastAsia" w:eastAsiaTheme="majorEastAsia" w:cstheme="majorEastAsia"/>
                <w:color w:val="auto"/>
                <w:sz w:val="21"/>
                <w:szCs w:val="21"/>
                <w:highlight w:val="none"/>
                <w:lang w:val="en-US" w:eastAsia="zh-CN"/>
              </w:rPr>
              <w:t>资格筛查</w:t>
            </w:r>
          </w:p>
        </w:tc>
        <w:tc>
          <w:tcPr>
            <w:tcW w:w="6850" w:type="dxa"/>
            <w:tcBorders>
              <w:right w:val="single" w:color="auto" w:sz="4" w:space="0"/>
            </w:tcBorders>
            <w:vAlign w:val="center"/>
          </w:tcPr>
          <w:p>
            <w:pPr>
              <w:pStyle w:val="84"/>
              <w:ind w:right="170" w:rightChars="50"/>
              <w:rPr>
                <w:rFonts w:hint="default" w:asciiTheme="majorEastAsia" w:hAnsiTheme="majorEastAsia" w:eastAsiaTheme="majorEastAsia" w:cstheme="majorEastAsia"/>
                <w:color w:val="auto"/>
                <w:sz w:val="21"/>
                <w:szCs w:val="21"/>
                <w:highlight w:val="none"/>
                <w:lang w:val="en-US" w:eastAsia="zh-CN"/>
              </w:rPr>
            </w:pPr>
            <w:bookmarkStart w:id="12" w:name="OLE_LINK6"/>
            <w:r>
              <w:rPr>
                <w:rFonts w:hint="eastAsia" w:asciiTheme="majorEastAsia" w:hAnsiTheme="majorEastAsia" w:eastAsiaTheme="majorEastAsia" w:cstheme="majorEastAsia"/>
                <w:color w:val="auto"/>
                <w:sz w:val="21"/>
                <w:szCs w:val="21"/>
                <w:highlight w:val="none"/>
                <w:lang w:val="en-US" w:eastAsia="zh-CN"/>
              </w:rPr>
              <w:t>根据投标报名情况，招标人将对投标人进行实地考察和资格初审。初审结果以手机短信通知为准（手机号码：</w:t>
            </w:r>
            <w:r>
              <w:rPr>
                <w:rFonts w:hint="eastAsia" w:asciiTheme="majorEastAsia" w:hAnsiTheme="majorEastAsia" w:eastAsiaTheme="majorEastAsia" w:cstheme="majorEastAsia"/>
                <w:color w:val="auto"/>
                <w:sz w:val="21"/>
                <w:szCs w:val="21"/>
                <w:highlight w:val="none"/>
                <w:lang w:val="en-US" w:eastAsia="zh-CN" w:bidi="ar-SA"/>
              </w:rPr>
              <w:t>18681690134，</w:t>
            </w:r>
            <w:r>
              <w:rPr>
                <w:rFonts w:hint="eastAsia" w:asciiTheme="majorEastAsia" w:hAnsiTheme="majorEastAsia" w:eastAsiaTheme="majorEastAsia" w:cstheme="majorEastAsia"/>
                <w:snapToGrid w:val="0"/>
                <w:color w:val="auto"/>
                <w:sz w:val="21"/>
                <w:szCs w:val="21"/>
                <w:highlight w:val="none"/>
                <w:lang w:val="en-US" w:eastAsia="zh-CN"/>
              </w:rPr>
              <w:t>招标人只对通过资格审查的投标人进行通知</w:t>
            </w:r>
            <w:r>
              <w:rPr>
                <w:rFonts w:hint="eastAsia" w:asciiTheme="majorEastAsia" w:hAnsiTheme="majorEastAsia" w:eastAsiaTheme="majorEastAsia" w:cstheme="majorEastAsia"/>
                <w:color w:val="auto"/>
                <w:sz w:val="21"/>
                <w:szCs w:val="21"/>
                <w:highlight w:val="none"/>
                <w:lang w:val="en-US" w:eastAsia="zh-CN" w:bidi="ar-SA"/>
              </w:rPr>
              <w:t>）；</w:t>
            </w:r>
            <w:r>
              <w:rPr>
                <w:rFonts w:hint="eastAsia" w:asciiTheme="majorEastAsia" w:hAnsiTheme="majorEastAsia" w:eastAsiaTheme="majorEastAsia" w:cstheme="majorEastAsia"/>
                <w:snapToGrid w:val="0"/>
                <w:color w:val="auto"/>
                <w:sz w:val="21"/>
                <w:szCs w:val="21"/>
                <w:highlight w:val="none"/>
                <w:lang w:eastAsia="zh-CN"/>
              </w:rPr>
              <w:t>报名资格不得转让。</w:t>
            </w:r>
            <w:bookmarkEnd w:id="12"/>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861" w:hRule="atLeast"/>
          <w:jc w:val="center"/>
        </w:trPr>
        <w:tc>
          <w:tcPr>
            <w:tcW w:w="599" w:type="dxa"/>
            <w:tcBorders>
              <w:left w:val="single" w:color="auto" w:sz="4" w:space="0"/>
              <w:bottom w:val="single" w:color="auto" w:sz="4" w:space="0"/>
            </w:tcBorders>
            <w:vAlign w:val="center"/>
          </w:tcPr>
          <w:p>
            <w:pPr>
              <w:pStyle w:val="84"/>
              <w:spacing w:line="360" w:lineRule="exact"/>
              <w:ind w:left="170" w:leftChars="50" w:right="170" w:rightChars="50" w:firstLine="0" w:firstLineChars="0"/>
              <w:jc w:val="center"/>
              <w:rPr>
                <w:rFonts w:hint="default" w:asciiTheme="majorEastAsia" w:hAnsiTheme="majorEastAsia" w:eastAsiaTheme="majorEastAsia" w:cstheme="majorEastAsia"/>
                <w:color w:val="auto"/>
                <w:sz w:val="21"/>
                <w:szCs w:val="21"/>
                <w:highlight w:val="none"/>
                <w:lang w:val="en-US" w:eastAsia="zh-CN"/>
              </w:rPr>
            </w:pPr>
            <w:r>
              <w:rPr>
                <w:rFonts w:hint="eastAsia" w:asciiTheme="majorEastAsia" w:hAnsiTheme="majorEastAsia" w:eastAsiaTheme="majorEastAsia" w:cstheme="majorEastAsia"/>
                <w:color w:val="auto"/>
                <w:sz w:val="21"/>
                <w:szCs w:val="21"/>
                <w:highlight w:val="none"/>
                <w:lang w:val="en-US" w:eastAsia="zh-CN"/>
              </w:rPr>
              <w:t>29</w:t>
            </w:r>
          </w:p>
        </w:tc>
        <w:tc>
          <w:tcPr>
            <w:tcW w:w="1746" w:type="dxa"/>
            <w:tcBorders>
              <w:bottom w:val="single" w:color="auto" w:sz="4" w:space="0"/>
            </w:tcBorders>
            <w:vAlign w:val="center"/>
          </w:tcPr>
          <w:p>
            <w:pPr>
              <w:pStyle w:val="84"/>
              <w:ind w:left="170" w:leftChars="50" w:right="170" w:rightChars="50" w:firstLine="0" w:firstLineChars="0"/>
              <w:jc w:val="center"/>
              <w:rPr>
                <w:rFonts w:hint="default" w:asciiTheme="majorEastAsia" w:hAnsiTheme="majorEastAsia" w:eastAsiaTheme="majorEastAsia" w:cstheme="majorEastAsia"/>
                <w:color w:val="auto"/>
                <w:sz w:val="21"/>
                <w:szCs w:val="21"/>
                <w:highlight w:val="none"/>
                <w:lang w:val="en-US" w:eastAsia="zh-CN"/>
              </w:rPr>
            </w:pPr>
            <w:r>
              <w:rPr>
                <w:rFonts w:hint="eastAsia" w:asciiTheme="majorEastAsia" w:hAnsiTheme="majorEastAsia" w:eastAsiaTheme="majorEastAsia" w:cstheme="majorEastAsia"/>
                <w:color w:val="auto"/>
                <w:sz w:val="21"/>
                <w:szCs w:val="21"/>
                <w:highlight w:val="none"/>
                <w:lang w:val="en-US" w:eastAsia="zh-CN"/>
              </w:rPr>
              <w:t>其他</w:t>
            </w:r>
          </w:p>
        </w:tc>
        <w:tc>
          <w:tcPr>
            <w:tcW w:w="6850" w:type="dxa"/>
            <w:tcBorders>
              <w:bottom w:val="single" w:color="auto" w:sz="4" w:space="0"/>
              <w:right w:val="single" w:color="auto" w:sz="4" w:space="0"/>
            </w:tcBorders>
            <w:vAlign w:val="center"/>
          </w:tcPr>
          <w:p>
            <w:pPr>
              <w:pStyle w:val="84"/>
              <w:ind w:right="170" w:rightChars="50"/>
              <w:rPr>
                <w:rFonts w:hint="default" w:asciiTheme="majorEastAsia" w:hAnsiTheme="majorEastAsia" w:eastAsiaTheme="majorEastAsia" w:cstheme="majorEastAsia"/>
                <w:color w:val="auto"/>
                <w:sz w:val="21"/>
                <w:szCs w:val="21"/>
                <w:highlight w:val="none"/>
                <w:lang w:val="en-US" w:eastAsia="zh-CN"/>
              </w:rPr>
            </w:pPr>
            <w:r>
              <w:rPr>
                <w:rFonts w:hint="eastAsia" w:asciiTheme="majorEastAsia" w:hAnsiTheme="majorEastAsia" w:eastAsiaTheme="majorEastAsia" w:cstheme="majorEastAsia"/>
                <w:color w:val="auto"/>
                <w:sz w:val="21"/>
                <w:szCs w:val="21"/>
                <w:highlight w:val="none"/>
                <w:lang w:val="en-US" w:eastAsia="zh-CN"/>
              </w:rPr>
              <w:t>投标人只能参与本次招标项目一个标段，多报按废标处理</w:t>
            </w:r>
            <w:bookmarkStart w:id="13" w:name="OLE_LINK14"/>
            <w:r>
              <w:rPr>
                <w:rFonts w:hint="eastAsia" w:asciiTheme="majorEastAsia" w:hAnsiTheme="majorEastAsia" w:eastAsiaTheme="majorEastAsia" w:cstheme="majorEastAsia"/>
                <w:color w:val="auto"/>
                <w:sz w:val="21"/>
                <w:szCs w:val="21"/>
                <w:highlight w:val="none"/>
                <w:lang w:val="en-US" w:eastAsia="zh-CN"/>
              </w:rPr>
              <w:t>（包括两个及以上投标人之间存在股权隶属或法人结构相关的，按废标处理）。</w:t>
            </w:r>
            <w:bookmarkEnd w:id="13"/>
          </w:p>
        </w:tc>
      </w:tr>
    </w:tbl>
    <w:p>
      <w:pPr>
        <w:ind w:left="0" w:leftChars="0" w:right="105" w:firstLine="0" w:firstLineChars="0"/>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注：若投标人须知前附表中内容与招标文件相应内容不一致的，以投标人须知前附表为准。</w:t>
      </w:r>
    </w:p>
    <w:p>
      <w:pPr>
        <w:ind w:right="105" w:firstLine="3080" w:firstLineChars="1100"/>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一、总  则</w:t>
      </w:r>
    </w:p>
    <w:p>
      <w:pPr>
        <w:tabs>
          <w:tab w:val="left" w:pos="7665"/>
        </w:tabs>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1.适用范围</w:t>
      </w:r>
    </w:p>
    <w:p>
      <w:pPr>
        <w:tabs>
          <w:tab w:val="left" w:pos="7665"/>
        </w:tabs>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 本招标文件仅适用于本次</w:t>
      </w:r>
      <w:r>
        <w:rPr>
          <w:rFonts w:hint="eastAsia" w:ascii="宋体" w:hAnsi="宋体" w:eastAsia="宋体" w:cs="宋体"/>
          <w:bCs/>
          <w:color w:val="auto"/>
          <w:kern w:val="0"/>
          <w:sz w:val="24"/>
          <w:szCs w:val="24"/>
          <w:highlight w:val="none"/>
          <w:lang w:val="zh-TW" w:eastAsia="zh-TW"/>
        </w:rPr>
        <w:t>2025—2027年东辰集团</w:t>
      </w:r>
      <w:r>
        <w:rPr>
          <w:rFonts w:hint="eastAsia" w:hAnsi="宋体" w:eastAsia="宋体" w:cs="宋体"/>
          <w:bCs/>
          <w:color w:val="auto"/>
          <w:kern w:val="0"/>
          <w:sz w:val="24"/>
          <w:szCs w:val="24"/>
          <w:highlight w:val="none"/>
          <w:lang w:val="en-US" w:eastAsia="zh-CN"/>
        </w:rPr>
        <w:t>物业</w:t>
      </w:r>
      <w:r>
        <w:rPr>
          <w:rFonts w:hint="eastAsia" w:ascii="宋体" w:hAnsi="宋体" w:eastAsia="宋体" w:cs="宋体"/>
          <w:bCs/>
          <w:color w:val="auto"/>
          <w:kern w:val="0"/>
          <w:sz w:val="24"/>
          <w:szCs w:val="24"/>
          <w:highlight w:val="none"/>
          <w:lang w:val="zh-TW" w:eastAsia="zh-TW"/>
        </w:rPr>
        <w:t>板块</w:t>
      </w:r>
      <w:r>
        <w:rPr>
          <w:rFonts w:hint="eastAsia" w:hAnsi="宋体" w:eastAsia="宋体" w:cs="宋体"/>
          <w:bCs/>
          <w:color w:val="auto"/>
          <w:kern w:val="0"/>
          <w:sz w:val="24"/>
          <w:szCs w:val="24"/>
          <w:highlight w:val="none"/>
          <w:lang w:val="zh-TW" w:eastAsia="zh-CN"/>
        </w:rPr>
        <w:t>保洁、</w:t>
      </w:r>
      <w:r>
        <w:rPr>
          <w:rFonts w:hint="eastAsia" w:hAnsi="宋体" w:eastAsia="宋体" w:cs="宋体"/>
          <w:bCs/>
          <w:color w:val="auto"/>
          <w:kern w:val="0"/>
          <w:sz w:val="24"/>
          <w:szCs w:val="24"/>
          <w:highlight w:val="none"/>
          <w:lang w:val="en-US" w:eastAsia="zh-CN"/>
        </w:rPr>
        <w:t>绿化</w:t>
      </w:r>
      <w:r>
        <w:rPr>
          <w:rFonts w:hint="eastAsia" w:ascii="宋体" w:hAnsi="宋体" w:eastAsia="宋体" w:cs="宋体"/>
          <w:bCs/>
          <w:color w:val="auto"/>
          <w:kern w:val="0"/>
          <w:sz w:val="24"/>
          <w:szCs w:val="24"/>
          <w:highlight w:val="none"/>
          <w:lang w:val="zh-TW" w:eastAsia="zh-TW"/>
        </w:rPr>
        <w:t>服务</w:t>
      </w:r>
      <w:r>
        <w:rPr>
          <w:rFonts w:hint="eastAsia" w:hAnsi="宋体" w:eastAsia="宋体" w:cs="宋体"/>
          <w:bCs/>
          <w:color w:val="auto"/>
          <w:kern w:val="0"/>
          <w:sz w:val="24"/>
          <w:szCs w:val="24"/>
          <w:highlight w:val="none"/>
          <w:lang w:val="en-US" w:eastAsia="zh-CN"/>
        </w:rPr>
        <w:t>采购（三标段）</w:t>
      </w:r>
      <w:r>
        <w:rPr>
          <w:rFonts w:hint="eastAsia" w:asciiTheme="majorEastAsia" w:hAnsiTheme="majorEastAsia" w:eastAsiaTheme="majorEastAsia" w:cstheme="majorEastAsia"/>
          <w:color w:val="auto"/>
          <w:sz w:val="24"/>
          <w:szCs w:val="24"/>
          <w:highlight w:val="none"/>
        </w:rPr>
        <w:t>。</w:t>
      </w:r>
    </w:p>
    <w:p>
      <w:pPr>
        <w:tabs>
          <w:tab w:val="left" w:pos="7665"/>
        </w:tabs>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2.有关定义</w:t>
      </w:r>
    </w:p>
    <w:p>
      <w:pPr>
        <w:tabs>
          <w:tab w:val="left" w:pos="7665"/>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2.1 本项目招标人是</w:t>
      </w:r>
      <w:r>
        <w:rPr>
          <w:rFonts w:hint="eastAsia" w:asciiTheme="majorEastAsia" w:hAnsiTheme="majorEastAsia" w:eastAsiaTheme="majorEastAsia" w:cstheme="majorEastAsia"/>
          <w:b/>
          <w:bCs/>
          <w:color w:val="auto"/>
          <w:sz w:val="24"/>
          <w:szCs w:val="24"/>
          <w:highlight w:val="none"/>
          <w:lang w:val="en-US" w:eastAsia="zh-CN"/>
        </w:rPr>
        <w:t>四川东辰集团（股份）有限公司</w:t>
      </w:r>
      <w:r>
        <w:rPr>
          <w:rFonts w:hint="eastAsia" w:asciiTheme="majorEastAsia" w:hAnsiTheme="majorEastAsia" w:eastAsiaTheme="majorEastAsia" w:cstheme="majorEastAsia"/>
          <w:color w:val="auto"/>
          <w:sz w:val="24"/>
          <w:szCs w:val="24"/>
          <w:highlight w:val="none"/>
        </w:rPr>
        <w:t>。</w:t>
      </w:r>
    </w:p>
    <w:p>
      <w:pPr>
        <w:tabs>
          <w:tab w:val="left" w:pos="7665"/>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2.2 “投标人”系指拟参加</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和向招标人提供相应服务的供应商。</w:t>
      </w:r>
    </w:p>
    <w:p>
      <w:pPr>
        <w:tabs>
          <w:tab w:val="left" w:pos="7665"/>
        </w:tabs>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3.投标人</w:t>
      </w:r>
    </w:p>
    <w:p>
      <w:pPr>
        <w:tabs>
          <w:tab w:val="left" w:pos="7665"/>
        </w:tabs>
        <w:ind w:right="105" w:firstLine="480"/>
        <w:rPr>
          <w:rFonts w:asciiTheme="majorEastAsia" w:hAnsiTheme="majorEastAsia" w:eastAsiaTheme="majorEastAsia" w:cstheme="majorEastAsia"/>
          <w:bCs/>
          <w:snapToGrid w:val="0"/>
          <w:color w:val="auto"/>
          <w:sz w:val="24"/>
          <w:szCs w:val="24"/>
          <w:highlight w:val="none"/>
        </w:rPr>
      </w:pPr>
      <w:r>
        <w:rPr>
          <w:rFonts w:hint="eastAsia" w:asciiTheme="majorEastAsia" w:hAnsiTheme="majorEastAsia" w:eastAsiaTheme="majorEastAsia" w:cstheme="majorEastAsia"/>
          <w:bCs/>
          <w:snapToGrid w:val="0"/>
          <w:color w:val="auto"/>
          <w:sz w:val="24"/>
          <w:szCs w:val="24"/>
          <w:highlight w:val="none"/>
        </w:rPr>
        <w:t>投标人需满足以下资格条件：</w:t>
      </w:r>
    </w:p>
    <w:p>
      <w:pPr>
        <w:tabs>
          <w:tab w:val="left" w:pos="7665"/>
        </w:tabs>
        <w:ind w:right="105" w:firstLine="480"/>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（1）必须完全符合本招标文件中规定的投标人资格条件，并提供相应的资格证明材料；</w:t>
      </w:r>
    </w:p>
    <w:p>
      <w:pPr>
        <w:tabs>
          <w:tab w:val="left" w:pos="7665"/>
        </w:tabs>
        <w:ind w:right="105" w:firstLine="480"/>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（2）不存在招标文件规定的限制投标情形；</w:t>
      </w:r>
    </w:p>
    <w:p>
      <w:pPr>
        <w:tabs>
          <w:tab w:val="left" w:pos="7665"/>
        </w:tabs>
        <w:ind w:right="105" w:firstLine="480"/>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（3）完全满足本招标文件中的所有内容，并做出实质性响应；</w:t>
      </w:r>
    </w:p>
    <w:p>
      <w:pPr>
        <w:tabs>
          <w:tab w:val="left" w:pos="7665"/>
        </w:tabs>
        <w:ind w:right="105" w:firstLine="480"/>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（4）遵守国家有关的法律法规要求；</w:t>
      </w:r>
    </w:p>
    <w:p>
      <w:pPr>
        <w:tabs>
          <w:tab w:val="left" w:pos="7665"/>
        </w:tabs>
        <w:ind w:right="105" w:firstLine="480"/>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（5）满足本</w:t>
      </w:r>
      <w:r>
        <w:rPr>
          <w:rFonts w:hint="eastAsia" w:asciiTheme="majorEastAsia" w:hAnsiTheme="majorEastAsia" w:eastAsiaTheme="majorEastAsia" w:cstheme="majorEastAsia"/>
          <w:color w:val="auto"/>
          <w:sz w:val="24"/>
          <w:szCs w:val="24"/>
          <w:highlight w:val="none"/>
          <w:lang w:val="zh-CN"/>
        </w:rPr>
        <w:t>招标文件</w:t>
      </w:r>
      <w:r>
        <w:rPr>
          <w:rFonts w:hint="eastAsia" w:asciiTheme="majorEastAsia" w:hAnsiTheme="majorEastAsia" w:eastAsiaTheme="majorEastAsia" w:cstheme="majorEastAsia"/>
          <w:snapToGrid w:val="0"/>
          <w:color w:val="auto"/>
          <w:sz w:val="24"/>
          <w:szCs w:val="24"/>
          <w:highlight w:val="none"/>
        </w:rPr>
        <w:t>其他条款规定及要求；</w:t>
      </w:r>
    </w:p>
    <w:p>
      <w:pPr>
        <w:tabs>
          <w:tab w:val="left" w:pos="7665"/>
        </w:tabs>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4.</w:t>
      </w:r>
      <w:r>
        <w:rPr>
          <w:rFonts w:hint="eastAsia" w:asciiTheme="majorEastAsia" w:hAnsiTheme="majorEastAsia" w:eastAsiaTheme="majorEastAsia" w:cstheme="majorEastAsia"/>
          <w:b/>
          <w:bCs/>
          <w:color w:val="auto"/>
          <w:sz w:val="24"/>
          <w:szCs w:val="24"/>
          <w:highlight w:val="none"/>
          <w:lang w:val="zh-CN"/>
        </w:rPr>
        <w:t>投标</w:t>
      </w:r>
      <w:r>
        <w:rPr>
          <w:rFonts w:hint="eastAsia" w:asciiTheme="majorEastAsia" w:hAnsiTheme="majorEastAsia" w:eastAsiaTheme="majorEastAsia" w:cstheme="majorEastAsia"/>
          <w:b/>
          <w:bCs/>
          <w:color w:val="auto"/>
          <w:sz w:val="24"/>
          <w:szCs w:val="24"/>
          <w:highlight w:val="none"/>
        </w:rPr>
        <w:t>费用</w:t>
      </w:r>
    </w:p>
    <w:p>
      <w:pPr>
        <w:pStyle w:val="26"/>
        <w:spacing w:before="0" w:beforeAutospacing="0" w:after="0" w:afterAutospacing="0" w:line="420" w:lineRule="exact"/>
        <w:ind w:left="237" w:leftChars="70" w:firstLine="480" w:firstLineChars="200"/>
        <w:rPr>
          <w:rFonts w:hint="eastAsia" w:asciiTheme="majorEastAsia" w:hAnsiTheme="majorEastAsia" w:eastAsiaTheme="majorEastAsia" w:cstheme="majorEastAsia"/>
          <w:snapToGrid w:val="0"/>
          <w:color w:val="auto"/>
          <w:sz w:val="24"/>
          <w:szCs w:val="24"/>
          <w:highlight w:val="none"/>
          <w:lang w:eastAsia="zh-CN"/>
        </w:rPr>
      </w:pPr>
      <w:r>
        <w:rPr>
          <w:rFonts w:hint="eastAsia" w:eastAsia="宋体" w:cs="宋体"/>
          <w:bCs/>
          <w:color w:val="auto"/>
          <w:sz w:val="24"/>
          <w:szCs w:val="24"/>
          <w:highlight w:val="none"/>
          <w:lang w:eastAsia="zh-CN"/>
        </w:rPr>
        <w:t>本次投标</w:t>
      </w:r>
      <w:r>
        <w:rPr>
          <w:rFonts w:hint="eastAsia" w:eastAsia="宋体" w:cs="宋体"/>
          <w:bCs/>
          <w:color w:val="auto"/>
          <w:sz w:val="24"/>
          <w:szCs w:val="24"/>
          <w:highlight w:val="none"/>
          <w:lang w:val="en-US" w:eastAsia="zh-CN"/>
        </w:rPr>
        <w:t>不收取报名费</w:t>
      </w:r>
      <w:r>
        <w:rPr>
          <w:rFonts w:hint="eastAsia" w:eastAsia="宋体" w:cs="宋体"/>
          <w:bCs/>
          <w:color w:val="auto"/>
          <w:sz w:val="24"/>
          <w:szCs w:val="24"/>
          <w:highlight w:val="none"/>
          <w:lang w:eastAsia="zh-CN"/>
        </w:rPr>
        <w:t>；</w:t>
      </w:r>
      <w:r>
        <w:rPr>
          <w:rFonts w:hint="eastAsia" w:asciiTheme="majorEastAsia" w:hAnsiTheme="majorEastAsia" w:eastAsiaTheme="majorEastAsia" w:cstheme="majorEastAsia"/>
          <w:snapToGrid w:val="0"/>
          <w:color w:val="auto"/>
          <w:sz w:val="24"/>
          <w:szCs w:val="24"/>
          <w:highlight w:val="none"/>
        </w:rPr>
        <w:t>无论投标过程如何进行，以及最终结果如何，投标人需自行承担所有与投标活动相关的费用，包括但不限于现场勘探费用等。</w:t>
      </w:r>
    </w:p>
    <w:p>
      <w:pPr>
        <w:tabs>
          <w:tab w:val="left" w:pos="7665"/>
        </w:tabs>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5．充分、公平竞争保障措施</w:t>
      </w:r>
    </w:p>
    <w:p>
      <w:pPr>
        <w:pStyle w:val="84"/>
        <w:spacing w:line="360" w:lineRule="auto"/>
        <w:ind w:left="1"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5.1利害关系授权代表的处理。两家以上的投标人不得在同一合同项下的采购项目中，委托同一个自然人、同一家庭的人员、同一单位的人员作为其授权代表，否则，其投标文件作为无效处理。</w:t>
      </w:r>
    </w:p>
    <w:p>
      <w:pPr>
        <w:pStyle w:val="84"/>
        <w:spacing w:line="360" w:lineRule="auto"/>
        <w:ind w:left="1"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5.2回避。本次采购活动中，招标人员及相关人员与投标人有下列利害关系之一的，应当回避：</w:t>
      </w:r>
    </w:p>
    <w:p>
      <w:pPr>
        <w:pStyle w:val="84"/>
        <w:spacing w:line="360" w:lineRule="auto"/>
        <w:ind w:left="1"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（1）参加采购活动前3年内与投标人存在劳动关系；</w:t>
      </w:r>
    </w:p>
    <w:p>
      <w:pPr>
        <w:pStyle w:val="84"/>
        <w:spacing w:line="360" w:lineRule="auto"/>
        <w:ind w:left="1"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（2）参加采购活动前3</w:t>
      </w:r>
      <w:r>
        <w:rPr>
          <w:rFonts w:hint="eastAsia" w:ascii="宋体" w:hAnsi="宋体" w:eastAsia="宋体" w:cs="宋体"/>
          <w:color w:val="auto"/>
          <w:sz w:val="24"/>
          <w:szCs w:val="24"/>
          <w:highlight w:val="none"/>
        </w:rPr>
        <w:t>年内担任投标人的</w:t>
      </w:r>
      <w:r>
        <w:rPr>
          <w:rFonts w:hint="eastAsia" w:ascii="宋体" w:hAnsi="宋体" w:eastAsia="宋体" w:cs="宋体"/>
          <w:b w:val="0"/>
          <w:bCs w:val="0"/>
          <w:color w:val="auto"/>
          <w:sz w:val="24"/>
          <w:szCs w:val="24"/>
          <w:highlight w:val="none"/>
        </w:rPr>
        <w:t>董事、监事；</w:t>
      </w:r>
    </w:p>
    <w:p>
      <w:pPr>
        <w:pStyle w:val="84"/>
        <w:spacing w:line="360" w:lineRule="auto"/>
        <w:ind w:left="1"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（3）参加采购活动前3年内是投标人的控股股东或者实际控制人；</w:t>
      </w:r>
    </w:p>
    <w:p>
      <w:pPr>
        <w:pStyle w:val="84"/>
        <w:spacing w:line="360" w:lineRule="auto"/>
        <w:ind w:left="1"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（4）与投标人的法定代表人或者主要负责人有夫妻、直系血亲、三代以内旁系血亲或者近姻亲关系；</w:t>
      </w:r>
    </w:p>
    <w:p>
      <w:pPr>
        <w:pStyle w:val="84"/>
        <w:spacing w:line="360" w:lineRule="auto"/>
        <w:ind w:left="1"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（5）与投标人有其他可能影响采购活动公平、公正进行的关系。</w:t>
      </w:r>
    </w:p>
    <w:p>
      <w:pPr>
        <w:pStyle w:val="84"/>
        <w:spacing w:line="360" w:lineRule="auto"/>
        <w:ind w:left="1" w:firstLine="480"/>
        <w:rPr>
          <w:rFonts w:hint="eastAsia"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若投标人认为招标人员及相关人员与其他投标人存在利害关系，有权向招标人提交书面回避申请，并附具相关理由。招标人将及时询问被申请回避人员，有利害关系的被申请回避人员应当回避。</w:t>
      </w:r>
    </w:p>
    <w:p>
      <w:pPr>
        <w:ind w:right="105" w:firstLine="562"/>
        <w:jc w:val="left"/>
        <w:rPr>
          <w:rFonts w:hint="eastAsia" w:asciiTheme="majorEastAsia" w:hAnsiTheme="majorEastAsia" w:eastAsiaTheme="majorEastAsia" w:cstheme="majorEastAsia"/>
          <w:b/>
          <w:bCs/>
          <w:color w:val="auto"/>
          <w:sz w:val="21"/>
          <w:szCs w:val="21"/>
          <w:highlight w:val="none"/>
          <w:lang w:val="en-US" w:eastAsia="zh-CN"/>
        </w:rPr>
      </w:pPr>
      <w:r>
        <w:rPr>
          <w:rFonts w:hint="eastAsia" w:asciiTheme="majorEastAsia" w:hAnsiTheme="majorEastAsia" w:eastAsiaTheme="majorEastAsia" w:cstheme="majorEastAsia"/>
          <w:b/>
          <w:bCs/>
          <w:color w:val="auto"/>
          <w:sz w:val="24"/>
          <w:szCs w:val="24"/>
          <w:highlight w:val="none"/>
          <w:lang w:val="en-US" w:eastAsia="zh-CN"/>
        </w:rPr>
        <w:t>5.3</w:t>
      </w:r>
      <w:r>
        <w:rPr>
          <w:rFonts w:hint="eastAsia" w:asciiTheme="majorEastAsia" w:hAnsiTheme="majorEastAsia" w:eastAsiaTheme="majorEastAsia" w:cstheme="majorEastAsia"/>
          <w:b/>
          <w:bCs/>
          <w:color w:val="auto"/>
          <w:sz w:val="21"/>
          <w:szCs w:val="21"/>
          <w:highlight w:val="none"/>
          <w:lang w:val="en-US" w:eastAsia="zh-CN"/>
        </w:rPr>
        <w:t>投标人只能参与本次招标项目一个标段，多报按废标处理（包括两个及以上投标人之间存在股权隶属或法人结构相关的，按废标处理）。</w:t>
      </w:r>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二、招标文件</w:t>
      </w:r>
    </w:p>
    <w:p>
      <w:pPr>
        <w:tabs>
          <w:tab w:val="left" w:pos="7665"/>
        </w:tabs>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6．招标文件的构成</w:t>
      </w:r>
    </w:p>
    <w:p>
      <w:pPr>
        <w:tabs>
          <w:tab w:val="left" w:pos="7665"/>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6.1招标文件是投标人准备投标文件和参加投标的依据，同时也是评标的重要依据。招标文件详细阐述了招标项目的资格要求、技术标准、服务需求、报价范围、招标投标流程、相关规定及注意事项，并明确了合同的主要条款。本招标文件包括以下内容：</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（1）招标公告；</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（2）投标人须知；</w:t>
      </w:r>
    </w:p>
    <w:p>
      <w:pPr>
        <w:pStyle w:val="10"/>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（3）主要采购内容及技术、商务要求；</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（4）评标办法；</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（5）投标文件格式；</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（6）合同主要条款；</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6</w:t>
      </w:r>
      <w:r>
        <w:rPr>
          <w:rFonts w:hint="eastAsia" w:asciiTheme="majorEastAsia" w:hAnsiTheme="majorEastAsia" w:eastAsiaTheme="majorEastAsia" w:cstheme="majorEastAsia"/>
          <w:b/>
          <w:color w:val="auto"/>
          <w:sz w:val="24"/>
          <w:szCs w:val="24"/>
          <w:highlight w:val="none"/>
        </w:rPr>
        <w:t>.</w:t>
      </w:r>
      <w:r>
        <w:rPr>
          <w:rFonts w:hint="eastAsia" w:asciiTheme="majorEastAsia" w:hAnsiTheme="majorEastAsia" w:eastAsiaTheme="majorEastAsia" w:cstheme="majorEastAsia"/>
          <w:color w:val="auto"/>
          <w:sz w:val="24"/>
          <w:szCs w:val="24"/>
          <w:highlight w:val="none"/>
        </w:rPr>
        <w:t>2投标人</w:t>
      </w:r>
      <w:r>
        <w:rPr>
          <w:rFonts w:hint="eastAsia" w:asciiTheme="majorEastAsia" w:hAnsiTheme="majorEastAsia" w:eastAsiaTheme="majorEastAsia" w:cstheme="majorEastAsia"/>
          <w:snapToGrid w:val="0"/>
          <w:color w:val="auto"/>
          <w:sz w:val="24"/>
          <w:szCs w:val="24"/>
          <w:highlight w:val="none"/>
        </w:rPr>
        <w:t>收到</w:t>
      </w:r>
      <w:r>
        <w:rPr>
          <w:rFonts w:hint="eastAsia" w:asciiTheme="majorEastAsia" w:hAnsiTheme="majorEastAsia" w:eastAsiaTheme="majorEastAsia" w:cstheme="majorEastAsia"/>
          <w:color w:val="auto"/>
          <w:sz w:val="24"/>
          <w:szCs w:val="24"/>
          <w:highlight w:val="none"/>
          <w:lang w:val="zh-CN"/>
        </w:rPr>
        <w:t>招标文件</w:t>
      </w:r>
      <w:r>
        <w:rPr>
          <w:rFonts w:hint="eastAsia" w:asciiTheme="majorEastAsia" w:hAnsiTheme="majorEastAsia" w:eastAsiaTheme="majorEastAsia" w:cstheme="majorEastAsia"/>
          <w:snapToGrid w:val="0"/>
          <w:color w:val="auto"/>
          <w:sz w:val="24"/>
          <w:szCs w:val="24"/>
          <w:highlight w:val="none"/>
        </w:rPr>
        <w:t>时，应检查页数和附件数量，发现任何页数或附件数量的遗缺，任何数字或词汇模糊不清，任何词义含混不清，应告知招标人补全或澄清。如果</w:t>
      </w:r>
      <w:r>
        <w:rPr>
          <w:rFonts w:hint="eastAsia" w:asciiTheme="majorEastAsia" w:hAnsiTheme="majorEastAsia" w:eastAsiaTheme="majorEastAsia" w:cstheme="majorEastAsia"/>
          <w:color w:val="auto"/>
          <w:sz w:val="24"/>
          <w:szCs w:val="24"/>
          <w:highlight w:val="none"/>
        </w:rPr>
        <w:t>投标人</w:t>
      </w:r>
      <w:r>
        <w:rPr>
          <w:rFonts w:hint="eastAsia" w:asciiTheme="majorEastAsia" w:hAnsiTheme="majorEastAsia" w:eastAsiaTheme="majorEastAsia" w:cstheme="majorEastAsia"/>
          <w:snapToGrid w:val="0"/>
          <w:color w:val="auto"/>
          <w:sz w:val="24"/>
          <w:szCs w:val="24"/>
          <w:highlight w:val="none"/>
        </w:rPr>
        <w:t>不按上述提出要求而造成不良后果，招标人不承担责任。</w:t>
      </w:r>
      <w:r>
        <w:rPr>
          <w:rFonts w:hint="eastAsia" w:asciiTheme="majorEastAsia" w:hAnsiTheme="majorEastAsia" w:eastAsiaTheme="majorEastAsia" w:cstheme="majorEastAsia"/>
          <w:color w:val="auto"/>
          <w:sz w:val="24"/>
          <w:szCs w:val="24"/>
          <w:highlight w:val="none"/>
        </w:rPr>
        <w:t>投标人需仔细阅读并深入理解招标文件中包含的所有事项、格式条款以及规范要求。投标人应详细阅读招标文件的全部内容，并实质性响应招标文件的要求。</w:t>
      </w:r>
    </w:p>
    <w:p>
      <w:pPr>
        <w:tabs>
          <w:tab w:val="left" w:pos="7665"/>
        </w:tabs>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7. 招标文件的澄清和修改</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7.1 在</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截止时间之前，无论出于何种原因，招标人可以对招标文件进行澄清或者修改。</w:t>
      </w:r>
    </w:p>
    <w:p>
      <w:pPr>
        <w:tabs>
          <w:tab w:val="left" w:pos="720"/>
        </w:tabs>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7.2 对已发出的招标文件进行澄清或者修改，招标人以书面形式将澄清或者修改的内容通知所有收到招标文件的投标人，该澄清或者修改的内容为招标文件的组成部分。</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所有已接收招标文件的投标人须密切关注本项目招标文件的澄清及修改内容，并及时进行阅读、下载、截图及打印等操作。投标人若未能履行此义务，则需自行承担由此导致的投标不利后果。</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若澄清或修改内容可能影响投标文件编制，招标人需在投标截止时间至少3日前，以书面形式通告所有已获取招标文件的潜在投标人；不足3日的，招标人应当顺延提交投标文件的截止时间。</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w:t>
      </w:r>
      <w:r>
        <w:rPr>
          <w:rFonts w:hint="eastAsia" w:asciiTheme="majorEastAsia" w:hAnsiTheme="majorEastAsia" w:eastAsiaTheme="majorEastAsia" w:cstheme="majorEastAsia"/>
          <w:b/>
          <w:color w:val="auto"/>
          <w:sz w:val="24"/>
          <w:szCs w:val="24"/>
          <w:highlight w:val="none"/>
        </w:rPr>
        <w:t>.</w:t>
      </w:r>
      <w:r>
        <w:rPr>
          <w:rFonts w:hint="eastAsia" w:asciiTheme="majorEastAsia" w:hAnsiTheme="majorEastAsia" w:eastAsiaTheme="majorEastAsia" w:cstheme="majorEastAsia"/>
          <w:color w:val="auto"/>
          <w:sz w:val="24"/>
          <w:szCs w:val="24"/>
          <w:highlight w:val="none"/>
        </w:rPr>
        <w:t>3 投标人要求对招标文件进行澄清的，应当在</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截止日3日前按招标文件中的联系方式，以书面形式通知招标人。</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7.4 招标文件的澄清或者修改将成为招标文件的一部分，对招标人、投标人都具有约束力。</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7.5 </w:t>
      </w:r>
      <w:r>
        <w:rPr>
          <w:rFonts w:hint="eastAsia" w:asciiTheme="majorEastAsia" w:hAnsiTheme="majorEastAsia" w:eastAsiaTheme="majorEastAsia" w:cstheme="majorEastAsia"/>
          <w:snapToGrid w:val="0"/>
          <w:color w:val="auto"/>
          <w:sz w:val="24"/>
          <w:szCs w:val="24"/>
          <w:highlight w:val="none"/>
        </w:rPr>
        <w:t>本项目</w:t>
      </w:r>
      <w:r>
        <w:rPr>
          <w:rFonts w:hint="eastAsia" w:asciiTheme="majorEastAsia" w:hAnsiTheme="majorEastAsia" w:eastAsiaTheme="majorEastAsia" w:cstheme="majorEastAsia"/>
          <w:color w:val="auto"/>
          <w:sz w:val="24"/>
          <w:szCs w:val="24"/>
          <w:highlight w:val="none"/>
        </w:rPr>
        <w:t>招标文件</w:t>
      </w:r>
      <w:r>
        <w:rPr>
          <w:rFonts w:hint="eastAsia" w:asciiTheme="majorEastAsia" w:hAnsiTheme="majorEastAsia" w:eastAsiaTheme="majorEastAsia" w:cstheme="majorEastAsia"/>
          <w:snapToGrid w:val="0"/>
          <w:color w:val="auto"/>
          <w:sz w:val="24"/>
          <w:szCs w:val="24"/>
          <w:highlight w:val="none"/>
        </w:rPr>
        <w:t>中的未尽事项，按现行有效的采购相关的法律法规、规范性文件执行。本项目</w:t>
      </w:r>
      <w:r>
        <w:rPr>
          <w:rFonts w:hint="eastAsia" w:asciiTheme="majorEastAsia" w:hAnsiTheme="majorEastAsia" w:eastAsiaTheme="majorEastAsia" w:cstheme="majorEastAsia"/>
          <w:color w:val="auto"/>
          <w:sz w:val="24"/>
          <w:szCs w:val="24"/>
          <w:highlight w:val="none"/>
        </w:rPr>
        <w:t>招标文件</w:t>
      </w:r>
      <w:r>
        <w:rPr>
          <w:rFonts w:hint="eastAsia" w:asciiTheme="majorEastAsia" w:hAnsiTheme="majorEastAsia" w:eastAsiaTheme="majorEastAsia" w:cstheme="majorEastAsia"/>
          <w:snapToGrid w:val="0"/>
          <w:color w:val="auto"/>
          <w:sz w:val="24"/>
          <w:szCs w:val="24"/>
          <w:highlight w:val="none"/>
        </w:rPr>
        <w:t>中的内容与现行有效的采购相关的法律法规、规范性</w:t>
      </w:r>
      <w:r>
        <w:rPr>
          <w:rFonts w:hint="eastAsia" w:asciiTheme="majorEastAsia" w:hAnsiTheme="majorEastAsia" w:eastAsiaTheme="majorEastAsia" w:cstheme="majorEastAsia"/>
          <w:color w:val="auto"/>
          <w:sz w:val="24"/>
          <w:szCs w:val="24"/>
          <w:highlight w:val="none"/>
        </w:rPr>
        <w:t>文件规定有冲突或背离的，按照现行有效的采购相关的法律法规、规范性文件执行。</w:t>
      </w:r>
    </w:p>
    <w:p>
      <w:pPr>
        <w:ind w:right="105" w:firstLine="482"/>
        <w:jc w:val="left"/>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8. 答疑会</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8.1 根据采购项目和具体情况，若有必要召开，将以书面形式通知所有投标人。</w:t>
      </w:r>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三、投标文件编写</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投标人应按照招标文件的规定和要求编制投标文件。投标人拟在中标后将中标项目的非主体、非关键性工作交由他人完成的，应当在投标文件中载明。投标人应仔细阅读招标文件的所有内容，按招标文件的要求提供投标文件，并保证所提供的全部资料的真实性，以使其投标对招标文件的实质性要求做出完全响应，否则，其投标可能被拒绝。</w:t>
      </w:r>
    </w:p>
    <w:p>
      <w:pPr>
        <w:ind w:right="105" w:firstLine="482"/>
        <w:jc w:val="left"/>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9．</w:t>
      </w:r>
      <w:r>
        <w:rPr>
          <w:rFonts w:hint="eastAsia" w:asciiTheme="majorEastAsia" w:hAnsiTheme="majorEastAsia" w:eastAsiaTheme="majorEastAsia" w:cstheme="majorEastAsia"/>
          <w:b/>
          <w:bCs/>
          <w:color w:val="auto"/>
          <w:sz w:val="24"/>
          <w:szCs w:val="24"/>
          <w:highlight w:val="none"/>
          <w:lang w:val="zh-CN"/>
        </w:rPr>
        <w:t>投标文件</w:t>
      </w:r>
      <w:r>
        <w:rPr>
          <w:rFonts w:hint="eastAsia" w:asciiTheme="majorEastAsia" w:hAnsiTheme="majorEastAsia" w:eastAsiaTheme="majorEastAsia" w:cstheme="majorEastAsia"/>
          <w:b/>
          <w:bCs/>
          <w:color w:val="auto"/>
          <w:sz w:val="24"/>
          <w:szCs w:val="24"/>
          <w:highlight w:val="none"/>
        </w:rPr>
        <w:t>的语言</w:t>
      </w:r>
    </w:p>
    <w:p>
      <w:pPr>
        <w:ind w:right="105" w:firstLine="480"/>
        <w:jc w:val="left"/>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color w:val="auto"/>
          <w:sz w:val="24"/>
          <w:szCs w:val="24"/>
          <w:highlight w:val="none"/>
        </w:rPr>
        <w:t>9.1 投标人提交的</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以及投标人与招标人就有关</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的所有来往书面文件均须使用中文。投标文件中如附有外文资料，必须逐一对应翻译成中文并加盖投标人公章后附在相关外文资料后面（说明：投标人的法定代表人为外籍人士的，法定代表人的签字和护照除外），</w:t>
      </w:r>
      <w:r>
        <w:rPr>
          <w:rFonts w:hint="eastAsia" w:asciiTheme="majorEastAsia" w:hAnsiTheme="majorEastAsia" w:eastAsiaTheme="majorEastAsia" w:cstheme="majorEastAsia"/>
          <w:snapToGrid w:val="0"/>
          <w:color w:val="auto"/>
          <w:sz w:val="24"/>
          <w:szCs w:val="24"/>
          <w:highlight w:val="none"/>
        </w:rPr>
        <w:t>否则，投标人的该份外文资料无效。</w:t>
      </w:r>
    </w:p>
    <w:p>
      <w:pPr>
        <w:ind w:right="105" w:firstLine="480"/>
        <w:jc w:val="left"/>
        <w:rPr>
          <w:rFonts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snapToGrid w:val="0"/>
          <w:color w:val="auto"/>
          <w:sz w:val="24"/>
          <w:szCs w:val="24"/>
          <w:highlight w:val="none"/>
        </w:rPr>
        <w:t>9.2 翻译的中文资料与外文资料如果出现差异和矛盾时，以中文为准。但不能故意</w:t>
      </w:r>
      <w:r>
        <w:rPr>
          <w:rFonts w:hint="eastAsia" w:asciiTheme="majorEastAsia" w:hAnsiTheme="majorEastAsia" w:eastAsiaTheme="majorEastAsia" w:cstheme="majorEastAsia"/>
          <w:color w:val="auto"/>
          <w:sz w:val="24"/>
          <w:szCs w:val="24"/>
          <w:highlight w:val="none"/>
          <w:lang w:val="zh-CN"/>
        </w:rPr>
        <w:t>错误翻译，否则，投标人的投标文件将作为无效投标文件处理。</w:t>
      </w:r>
    </w:p>
    <w:p>
      <w:pPr>
        <w:ind w:right="105" w:firstLine="482"/>
        <w:jc w:val="left"/>
        <w:rPr>
          <w:rFonts w:asciiTheme="majorEastAsia" w:hAnsiTheme="majorEastAsia" w:eastAsiaTheme="majorEastAsia" w:cstheme="majorEastAsia"/>
          <w:b/>
          <w:bCs/>
          <w:color w:val="auto"/>
          <w:sz w:val="24"/>
          <w:szCs w:val="24"/>
          <w:highlight w:val="none"/>
          <w:lang w:val="zh-CN"/>
        </w:rPr>
      </w:pPr>
      <w:r>
        <w:rPr>
          <w:rFonts w:hint="eastAsia" w:asciiTheme="majorEastAsia" w:hAnsiTheme="majorEastAsia" w:eastAsiaTheme="majorEastAsia" w:cstheme="majorEastAsia"/>
          <w:b/>
          <w:bCs/>
          <w:color w:val="auto"/>
          <w:sz w:val="24"/>
          <w:szCs w:val="24"/>
          <w:highlight w:val="none"/>
          <w:lang w:val="zh-CN"/>
        </w:rPr>
        <w:t>10．计量单位</w:t>
      </w:r>
    </w:p>
    <w:p>
      <w:pPr>
        <w:ind w:right="105" w:firstLine="480"/>
        <w:jc w:val="left"/>
        <w:rPr>
          <w:rFonts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10.1除技术规格及要求中另有规定外，本采购项目的投标均采用国家法定的计量单位。</w:t>
      </w:r>
    </w:p>
    <w:p>
      <w:pPr>
        <w:ind w:right="105" w:firstLine="482"/>
        <w:jc w:val="left"/>
        <w:rPr>
          <w:rFonts w:asciiTheme="majorEastAsia" w:hAnsiTheme="majorEastAsia" w:eastAsiaTheme="majorEastAsia" w:cstheme="majorEastAsia"/>
          <w:b/>
          <w:bCs/>
          <w:color w:val="auto"/>
          <w:sz w:val="24"/>
          <w:szCs w:val="24"/>
          <w:highlight w:val="none"/>
          <w:lang w:val="zh-CN"/>
        </w:rPr>
      </w:pPr>
      <w:r>
        <w:rPr>
          <w:rFonts w:hint="eastAsia" w:asciiTheme="majorEastAsia" w:hAnsiTheme="majorEastAsia" w:eastAsiaTheme="majorEastAsia" w:cstheme="majorEastAsia"/>
          <w:b/>
          <w:bCs/>
          <w:color w:val="auto"/>
          <w:sz w:val="24"/>
          <w:szCs w:val="24"/>
          <w:highlight w:val="none"/>
          <w:lang w:val="zh-CN"/>
        </w:rPr>
        <w:t>11. 投标货币</w:t>
      </w:r>
    </w:p>
    <w:p>
      <w:pPr>
        <w:ind w:right="105" w:firstLine="480"/>
        <w:jc w:val="left"/>
        <w:rPr>
          <w:rFonts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11.1本次招标项目的投标均以人民币报价。</w:t>
      </w:r>
    </w:p>
    <w:p>
      <w:pPr>
        <w:ind w:right="105" w:firstLine="482"/>
        <w:jc w:val="left"/>
        <w:rPr>
          <w:rFonts w:asciiTheme="majorEastAsia" w:hAnsiTheme="majorEastAsia" w:eastAsiaTheme="majorEastAsia" w:cstheme="majorEastAsia"/>
          <w:b/>
          <w:bCs/>
          <w:color w:val="auto"/>
          <w:sz w:val="24"/>
          <w:szCs w:val="24"/>
          <w:highlight w:val="none"/>
          <w:lang w:val="zh-CN"/>
        </w:rPr>
      </w:pPr>
      <w:r>
        <w:rPr>
          <w:rFonts w:hint="eastAsia" w:asciiTheme="majorEastAsia" w:hAnsiTheme="majorEastAsia" w:eastAsiaTheme="majorEastAsia" w:cstheme="majorEastAsia"/>
          <w:b/>
          <w:bCs/>
          <w:color w:val="auto"/>
          <w:sz w:val="24"/>
          <w:szCs w:val="24"/>
          <w:highlight w:val="none"/>
          <w:lang w:val="zh-CN"/>
        </w:rPr>
        <w:t>12．联合体投标</w:t>
      </w:r>
    </w:p>
    <w:p>
      <w:pPr>
        <w:ind w:right="105" w:firstLine="480"/>
        <w:jc w:val="left"/>
        <w:rPr>
          <w:rFonts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12.1不接受联合体投标。</w:t>
      </w:r>
    </w:p>
    <w:p>
      <w:pPr>
        <w:ind w:right="105" w:firstLine="482"/>
        <w:jc w:val="left"/>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13. 知识产权、货物产权</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13.1 投标人应确保在本项目中所使用的任何产品（货物）和服务（包括部分使用）均不会引发第三方提出的专利权、商标权、货物产权或其他知识产权的侵权指控，进而导致法律和经济纠纷。一旦发生此类纠纷，投标人将承担全部相关责任。</w:t>
      </w:r>
    </w:p>
    <w:p>
      <w:pPr>
        <w:ind w:right="105" w:firstLine="480"/>
        <w:jc w:val="left"/>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color w:val="auto"/>
          <w:sz w:val="24"/>
          <w:szCs w:val="24"/>
          <w:highlight w:val="none"/>
        </w:rPr>
        <w:t>13.2 招标人享有本项目实施过程中</w:t>
      </w:r>
      <w:r>
        <w:rPr>
          <w:rFonts w:hint="eastAsia" w:asciiTheme="majorEastAsia" w:hAnsiTheme="majorEastAsia" w:eastAsiaTheme="majorEastAsia" w:cstheme="majorEastAsia"/>
          <w:snapToGrid w:val="0"/>
          <w:color w:val="auto"/>
          <w:sz w:val="24"/>
          <w:szCs w:val="24"/>
          <w:highlight w:val="none"/>
        </w:rPr>
        <w:t>产生的知识成果及知识产权、货物产权。</w:t>
      </w:r>
    </w:p>
    <w:p>
      <w:pPr>
        <w:ind w:right="105" w:firstLine="480"/>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13.3 投标人如欲在项目实施过程中采用自有知识成果，需在投标文件中声明，并提供相关知识产权证明文件。使用该知识成果后，投标人需提供开发接口和开发手册等技术文档，并承诺提供无限期技术支持，招标人享有永久使用权</w:t>
      </w:r>
      <w:r>
        <w:rPr>
          <w:rFonts w:hint="eastAsia" w:asciiTheme="majorEastAsia" w:hAnsiTheme="majorEastAsia" w:eastAsiaTheme="majorEastAsia" w:cstheme="majorEastAsia"/>
          <w:color w:val="auto"/>
          <w:sz w:val="24"/>
          <w:szCs w:val="24"/>
          <w:highlight w:val="none"/>
        </w:rPr>
        <w:t>（含招标人委托第三方在该项目后续开发的使用权）</w:t>
      </w:r>
      <w:r>
        <w:rPr>
          <w:rFonts w:hint="eastAsia" w:asciiTheme="majorEastAsia" w:hAnsiTheme="majorEastAsia" w:eastAsiaTheme="majorEastAsia" w:cstheme="majorEastAsia"/>
          <w:snapToGrid w:val="0"/>
          <w:color w:val="auto"/>
          <w:sz w:val="24"/>
          <w:szCs w:val="24"/>
          <w:highlight w:val="none"/>
        </w:rPr>
        <w:t>。</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13.4 如采用投标人所拥有的知识产权、货物产权，则在投标报价中必须包括合法获取该知识产权、货物产权的相关费用。</w:t>
      </w:r>
    </w:p>
    <w:p>
      <w:pPr>
        <w:ind w:right="105" w:firstLine="482"/>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
          <w:bCs/>
          <w:color w:val="auto"/>
          <w:sz w:val="24"/>
          <w:szCs w:val="24"/>
          <w:highlight w:val="none"/>
        </w:rPr>
        <w:t>14．</w:t>
      </w:r>
      <w:r>
        <w:rPr>
          <w:rFonts w:hint="eastAsia" w:asciiTheme="majorEastAsia" w:hAnsiTheme="majorEastAsia" w:eastAsiaTheme="majorEastAsia" w:cstheme="majorEastAsia"/>
          <w:b/>
          <w:bCs/>
          <w:color w:val="auto"/>
          <w:sz w:val="24"/>
          <w:szCs w:val="24"/>
          <w:highlight w:val="none"/>
          <w:lang w:val="zh-CN"/>
        </w:rPr>
        <w:t>投标文件</w:t>
      </w:r>
      <w:r>
        <w:rPr>
          <w:rFonts w:hint="eastAsia" w:asciiTheme="majorEastAsia" w:hAnsiTheme="majorEastAsia" w:eastAsiaTheme="majorEastAsia" w:cstheme="majorEastAsia"/>
          <w:b/>
          <w:bCs/>
          <w:color w:val="auto"/>
          <w:sz w:val="24"/>
          <w:szCs w:val="24"/>
          <w:highlight w:val="none"/>
        </w:rPr>
        <w:t xml:space="preserve">的组成  </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14.1 投标人应按照招标文件的规定和要求编制</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14.2 投标人编写的</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应包括但不限于以下内容：</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投标文件分为投标报价表、资格审查资料和其他投标文件资料，具体包括下列内容：</w:t>
      </w:r>
    </w:p>
    <w:p>
      <w:pPr>
        <w:ind w:right="105" w:firstLine="480"/>
        <w:jc w:val="left"/>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color w:val="auto"/>
          <w:sz w:val="24"/>
          <w:szCs w:val="24"/>
          <w:highlight w:val="none"/>
        </w:rPr>
        <w:t>14.2.1</w:t>
      </w:r>
      <w:r>
        <w:rPr>
          <w:rFonts w:hint="eastAsia" w:asciiTheme="majorEastAsia" w:hAnsiTheme="majorEastAsia" w:eastAsiaTheme="majorEastAsia" w:cstheme="majorEastAsia"/>
          <w:bCs/>
          <w:color w:val="auto"/>
          <w:sz w:val="24"/>
          <w:szCs w:val="24"/>
          <w:highlight w:val="none"/>
        </w:rPr>
        <w:t>商务技术部分包括以下内容：</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a.商务部分投标文件封面；（见附件1）</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b.投标报价表；（见附件2）</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color w:val="auto"/>
          <w:sz w:val="24"/>
          <w:szCs w:val="24"/>
          <w:highlight w:val="none"/>
        </w:rPr>
        <w:t>14.2.2</w:t>
      </w:r>
      <w:r>
        <w:rPr>
          <w:rFonts w:hint="eastAsia" w:asciiTheme="majorEastAsia" w:hAnsiTheme="majorEastAsia" w:eastAsiaTheme="majorEastAsia" w:cstheme="majorEastAsia"/>
          <w:bCs/>
          <w:color w:val="auto"/>
          <w:sz w:val="24"/>
          <w:szCs w:val="24"/>
          <w:highlight w:val="none"/>
        </w:rPr>
        <w:t>资信部分包括以下内容（至少包括下列但不限于下列内容）：</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a.资信部分投标文件封面；（见附件3）</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b.投标函；（见附件4）</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c.投标人声明；（见附件5）</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d.营业执照；（复印件）</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e.法定代表人授权委托书（若为委托代理人，并附委托代理人身份证复印件）；（见附件6）</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f.法定代表人身份证明书（附法定代表人身份证复印件）；（见附件7）</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g.拟派遣的项目主管简历；（见附件8）</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h.承诺函；（见附件9）</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i.公司业绩；（见附件10）</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j.投标人至今已承接服务项目所获得的荣誉及奖项证明材料；</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K.投标人认为需要提供的其他证明材料（如公司简介、企业培训、队伍建设等）。</w:t>
      </w:r>
    </w:p>
    <w:p>
      <w:pPr>
        <w:ind w:right="105" w:firstLine="470" w:firstLineChars="196"/>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14.3 报价部分。</w:t>
      </w:r>
    </w:p>
    <w:p>
      <w:pPr>
        <w:ind w:right="105" w:firstLine="470" w:firstLineChars="196"/>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 本次招标报价要求：</w:t>
      </w:r>
    </w:p>
    <w:p>
      <w:pPr>
        <w:ind w:right="105" w:firstLine="480"/>
        <w:rPr>
          <w:rFonts w:hAnsi="宋体" w:eastAsia="宋体" w:cs="宋体"/>
          <w:color w:val="auto"/>
          <w:sz w:val="24"/>
          <w:szCs w:val="24"/>
          <w:highlight w:val="none"/>
        </w:rPr>
      </w:pPr>
      <w:r>
        <w:rPr>
          <w:rFonts w:hint="eastAsia" w:asciiTheme="majorEastAsia" w:hAnsiTheme="majorEastAsia" w:eastAsiaTheme="majorEastAsia" w:cstheme="majorEastAsia"/>
          <w:color w:val="auto"/>
          <w:sz w:val="24"/>
          <w:szCs w:val="24"/>
          <w:highlight w:val="none"/>
        </w:rPr>
        <w:t>（1）</w:t>
      </w:r>
      <w:r>
        <w:rPr>
          <w:rFonts w:hint="eastAsia" w:hAnsi="宋体" w:eastAsia="宋体" w:cs="宋体"/>
          <w:color w:val="auto"/>
          <w:sz w:val="24"/>
          <w:szCs w:val="24"/>
          <w:highlight w:val="none"/>
        </w:rPr>
        <w:t>投标人的报价应全面体现其对招标项目要求的响应，包括但不限于：</w:t>
      </w:r>
      <w:r>
        <w:rPr>
          <w:rFonts w:hint="eastAsia" w:hAnsi="宋体" w:eastAsia="宋体" w:cs="宋体"/>
          <w:color w:val="auto"/>
          <w:sz w:val="24"/>
          <w:szCs w:val="24"/>
          <w:highlight w:val="none"/>
          <w:lang w:eastAsia="zh-CN"/>
        </w:rPr>
        <w:t>保洁岗位设置及人员</w:t>
      </w:r>
      <w:r>
        <w:rPr>
          <w:rFonts w:hint="eastAsia" w:hAnsi="宋体" w:eastAsia="宋体" w:cs="宋体"/>
          <w:color w:val="auto"/>
          <w:sz w:val="24"/>
          <w:szCs w:val="24"/>
          <w:highlight w:val="none"/>
        </w:rPr>
        <w:t>工资、五险一金、年度考核绩效、加班工资、福利待遇</w:t>
      </w:r>
      <w:r>
        <w:rPr>
          <w:rFonts w:hint="eastAsia" w:hAnsi="宋体" w:eastAsia="宋体" w:cs="宋体"/>
          <w:color w:val="auto"/>
          <w:sz w:val="24"/>
          <w:szCs w:val="24"/>
          <w:highlight w:val="none"/>
          <w:lang w:eastAsia="zh-CN"/>
        </w:rPr>
        <w:t>、设备及耗材费用明细（含品牌、型号、规格预等）、设备配置及费用</w:t>
      </w:r>
      <w:r>
        <w:rPr>
          <w:rFonts w:hint="eastAsia" w:hAnsi="宋体" w:eastAsia="宋体" w:cs="宋体"/>
          <w:color w:val="auto"/>
          <w:sz w:val="24"/>
          <w:szCs w:val="24"/>
          <w:highlight w:val="none"/>
        </w:rPr>
        <w:t>以及投标人的管理费用</w:t>
      </w:r>
      <w:r>
        <w:rPr>
          <w:rFonts w:hint="eastAsia" w:hAnsi="宋体" w:eastAsia="宋体" w:cs="宋体"/>
          <w:color w:val="auto"/>
          <w:sz w:val="24"/>
          <w:szCs w:val="24"/>
          <w:highlight w:val="none"/>
          <w:lang w:eastAsia="zh-CN"/>
        </w:rPr>
        <w:t>、安全责任险等</w:t>
      </w:r>
      <w:r>
        <w:rPr>
          <w:rFonts w:hint="eastAsia" w:hAnsi="宋体" w:eastAsia="宋体" w:cs="宋体"/>
          <w:color w:val="auto"/>
          <w:sz w:val="24"/>
          <w:szCs w:val="24"/>
          <w:highlight w:val="none"/>
        </w:rPr>
        <w:t>。报价中必须包括完成服务项目的全部费用</w:t>
      </w:r>
      <w:r>
        <w:rPr>
          <w:rFonts w:hint="eastAsia" w:hAnsi="宋体" w:eastAsia="宋体" w:cs="宋体"/>
          <w:color w:val="auto"/>
          <w:sz w:val="24"/>
          <w:szCs w:val="24"/>
          <w:highlight w:val="none"/>
          <w:lang w:eastAsia="zh-CN"/>
        </w:rPr>
        <w:t>（含安全责任）</w:t>
      </w:r>
      <w:r>
        <w:rPr>
          <w:rFonts w:hint="eastAsia" w:hAnsi="宋体" w:eastAsia="宋体" w:cs="宋体"/>
          <w:color w:val="auto"/>
          <w:sz w:val="24"/>
          <w:szCs w:val="24"/>
          <w:highlight w:val="none"/>
        </w:rPr>
        <w:t>、合理的利润。中标人需承担自合同签订起至合同结束前的一切相关费用和风险。</w:t>
      </w:r>
    </w:p>
    <w:p>
      <w:pPr>
        <w:numPr>
          <w:ilvl w:val="0"/>
          <w:numId w:val="2"/>
        </w:numPr>
        <w:ind w:right="105" w:firstLine="470" w:firstLineChars="196"/>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投标人应对所有招标内容进行报价，不得遗漏。</w:t>
      </w:r>
    </w:p>
    <w:p>
      <w:pPr>
        <w:ind w:right="105" w:firstLine="480"/>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 w:val="24"/>
          <w:szCs w:val="24"/>
          <w:highlight w:val="none"/>
        </w:rPr>
        <w:t>（3）投标人只允许对同一项目品名有一个报价，并且在合同履行过程中是固定不变的，任何含有选择性或可调整性的报价均将不被接受，并将视为无效投标处理。</w:t>
      </w:r>
    </w:p>
    <w:p>
      <w:pPr>
        <w:ind w:right="105" w:firstLine="470" w:firstLineChars="196"/>
        <w:rPr>
          <w:rFonts w:asciiTheme="majorEastAsia" w:hAnsiTheme="majorEastAsia" w:eastAsiaTheme="majorEastAsia" w:cstheme="majorEastAsia"/>
          <w:b/>
          <w:color w:val="auto"/>
          <w:sz w:val="24"/>
          <w:szCs w:val="24"/>
          <w:highlight w:val="none"/>
          <w:lang w:val="zh-TW"/>
        </w:rPr>
      </w:pPr>
      <w:r>
        <w:rPr>
          <w:rFonts w:hint="eastAsia" w:asciiTheme="majorEastAsia" w:hAnsiTheme="majorEastAsia" w:eastAsiaTheme="majorEastAsia" w:cstheme="majorEastAsia"/>
          <w:b/>
          <w:color w:val="auto"/>
          <w:sz w:val="24"/>
          <w:szCs w:val="24"/>
          <w:highlight w:val="none"/>
        </w:rPr>
        <w:t>特别提醒：投标人在编制投标文件时，相关资料如属于资格性投标文件的组成部分，应在资格性文件中提供；相关资料如属于技术、商务投标文件的组成部分，应在技术、商务投标文件中提供；无法判断或两部分都可能需要时，可以在资格性投标文件和技术、商务投标文件中同时提供。若资格性投标文件内容错误地装入技术、商务投标文件中，或技术、商务投标文件内容错误地装入资格性投标文件中，因此导致的任何不利评审结果，均由投标人自行承担。</w:t>
      </w:r>
    </w:p>
    <w:p>
      <w:pPr>
        <w:ind w:right="105" w:firstLine="470" w:firstLineChars="196"/>
        <w:rPr>
          <w:rFonts w:asciiTheme="majorEastAsia" w:hAnsiTheme="majorEastAsia" w:eastAsiaTheme="majorEastAsia" w:cstheme="majorEastAsia"/>
          <w:b/>
          <w:color w:val="auto"/>
          <w:sz w:val="24"/>
          <w:szCs w:val="24"/>
          <w:highlight w:val="none"/>
          <w:lang w:val="zh-TW"/>
        </w:rPr>
      </w:pPr>
      <w:r>
        <w:rPr>
          <w:rFonts w:hint="eastAsia" w:asciiTheme="majorEastAsia" w:hAnsiTheme="majorEastAsia" w:eastAsiaTheme="majorEastAsia" w:cstheme="majorEastAsia"/>
          <w:b/>
          <w:color w:val="auto"/>
          <w:sz w:val="24"/>
          <w:szCs w:val="24"/>
          <w:highlight w:val="none"/>
          <w:lang w:val="zh-TW"/>
        </w:rPr>
        <w:t>15．</w:t>
      </w:r>
      <w:r>
        <w:rPr>
          <w:rFonts w:hint="eastAsia" w:asciiTheme="majorEastAsia" w:hAnsiTheme="majorEastAsia" w:eastAsiaTheme="majorEastAsia" w:cstheme="majorEastAsia"/>
          <w:b/>
          <w:color w:val="auto"/>
          <w:sz w:val="24"/>
          <w:szCs w:val="24"/>
          <w:highlight w:val="none"/>
          <w:lang w:val="zh-CN"/>
        </w:rPr>
        <w:t>投标文件格式要求</w:t>
      </w:r>
    </w:p>
    <w:p>
      <w:pPr>
        <w:ind w:right="105" w:firstLine="470" w:firstLineChars="196"/>
        <w:rPr>
          <w:rFonts w:asciiTheme="majorEastAsia" w:hAnsiTheme="majorEastAsia" w:eastAsiaTheme="majorEastAsia" w:cstheme="majorEastAsia"/>
          <w:color w:val="auto"/>
          <w:sz w:val="24"/>
          <w:szCs w:val="24"/>
          <w:highlight w:val="none"/>
          <w:lang w:val="zh-TW"/>
        </w:rPr>
      </w:pPr>
      <w:r>
        <w:rPr>
          <w:rFonts w:hint="eastAsia" w:asciiTheme="majorEastAsia" w:hAnsiTheme="majorEastAsia" w:eastAsiaTheme="majorEastAsia" w:cstheme="majorEastAsia"/>
          <w:color w:val="auto"/>
          <w:sz w:val="24"/>
          <w:szCs w:val="24"/>
          <w:highlight w:val="none"/>
          <w:lang w:val="zh-TW"/>
        </w:rPr>
        <w:t>15.1投标人应执行招标文件第五章的规定要求。</w:t>
      </w:r>
    </w:p>
    <w:p>
      <w:pPr>
        <w:ind w:right="105" w:firstLine="470" w:firstLineChars="196"/>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lang w:val="zh-TW"/>
        </w:rPr>
        <w:t>15.2 对于没有格式要求的投标文件由投标人自行编写。</w:t>
      </w:r>
    </w:p>
    <w:p>
      <w:pPr>
        <w:ind w:right="105" w:firstLine="482"/>
        <w:jc w:val="left"/>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16．</w:t>
      </w:r>
      <w:r>
        <w:rPr>
          <w:rFonts w:hint="eastAsia" w:asciiTheme="majorEastAsia" w:hAnsiTheme="majorEastAsia" w:eastAsiaTheme="majorEastAsia" w:cstheme="majorEastAsia"/>
          <w:b/>
          <w:bCs/>
          <w:color w:val="auto"/>
          <w:sz w:val="24"/>
          <w:szCs w:val="24"/>
          <w:highlight w:val="none"/>
          <w:lang w:val="zh-CN"/>
        </w:rPr>
        <w:t>投标</w:t>
      </w:r>
      <w:r>
        <w:rPr>
          <w:rFonts w:hint="eastAsia" w:asciiTheme="majorEastAsia" w:hAnsiTheme="majorEastAsia" w:eastAsiaTheme="majorEastAsia" w:cstheme="majorEastAsia"/>
          <w:b/>
          <w:bCs/>
          <w:color w:val="auto"/>
          <w:sz w:val="24"/>
          <w:szCs w:val="24"/>
          <w:highlight w:val="none"/>
        </w:rPr>
        <w:t>有效期</w:t>
      </w:r>
    </w:p>
    <w:p>
      <w:pPr>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16.1 </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有效期见投标人须知前附表第11项。</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有效期短于此规定期限的</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，将被拒绝。</w:t>
      </w:r>
    </w:p>
    <w:p>
      <w:pPr>
        <w:tabs>
          <w:tab w:val="left" w:pos="1080"/>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 16.2 特殊情况下，招标人可于</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有效期满之前要求投标人同意延长有效期，要求与答复均应为书面形式。投标人可以拒绝上述要求，其</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保证金</w:t>
      </w:r>
      <w:r>
        <w:rPr>
          <w:rFonts w:hint="eastAsia" w:asciiTheme="majorEastAsia" w:hAnsiTheme="majorEastAsia" w:eastAsiaTheme="majorEastAsia" w:cstheme="majorEastAsia"/>
          <w:color w:val="auto"/>
          <w:spacing w:val="8"/>
          <w:sz w:val="24"/>
          <w:szCs w:val="24"/>
          <w:highlight w:val="none"/>
        </w:rPr>
        <w:t>不被没收。</w:t>
      </w:r>
      <w:r>
        <w:rPr>
          <w:rFonts w:hint="eastAsia" w:asciiTheme="majorEastAsia" w:hAnsiTheme="majorEastAsia" w:eastAsiaTheme="majorEastAsia" w:cstheme="majorEastAsia"/>
          <w:color w:val="auto"/>
          <w:sz w:val="24"/>
          <w:szCs w:val="24"/>
          <w:highlight w:val="none"/>
        </w:rPr>
        <w:t>拒绝延长</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有效期的投标人不得再参与该项目后续采购活动。同意延长</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有效期的投标人不能修改其</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关于</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保证金的有关规定在延长的</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有效期内继续有效。</w:t>
      </w:r>
    </w:p>
    <w:p>
      <w:pPr>
        <w:tabs>
          <w:tab w:val="left" w:pos="1080"/>
        </w:tabs>
        <w:ind w:right="105" w:firstLine="460" w:firstLineChars="19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17．</w:t>
      </w:r>
      <w:r>
        <w:rPr>
          <w:rFonts w:hint="eastAsia" w:asciiTheme="majorEastAsia" w:hAnsiTheme="majorEastAsia" w:eastAsiaTheme="majorEastAsia" w:cstheme="majorEastAsia"/>
          <w:b/>
          <w:bCs/>
          <w:color w:val="auto"/>
          <w:sz w:val="24"/>
          <w:szCs w:val="24"/>
          <w:highlight w:val="none"/>
          <w:lang w:val="zh-CN"/>
        </w:rPr>
        <w:t>投标文件</w:t>
      </w:r>
      <w:r>
        <w:rPr>
          <w:rFonts w:hint="eastAsia" w:asciiTheme="majorEastAsia" w:hAnsiTheme="majorEastAsia" w:eastAsiaTheme="majorEastAsia" w:cstheme="majorEastAsia"/>
          <w:b/>
          <w:bCs/>
          <w:color w:val="auto"/>
          <w:sz w:val="24"/>
          <w:szCs w:val="24"/>
          <w:highlight w:val="none"/>
        </w:rPr>
        <w:t>的印制和签署（实质性要求，不满足为无效投标）</w:t>
      </w:r>
    </w:p>
    <w:p>
      <w:pPr>
        <w:pStyle w:val="2"/>
        <w:tabs>
          <w:tab w:val="left" w:pos="0"/>
        </w:tabs>
        <w:spacing w:line="360" w:lineRule="auto"/>
        <w:ind w:right="105" w:firstLine="480" w:firstLineChars="200"/>
        <w:rPr>
          <w:rFonts w:asciiTheme="majorEastAsia" w:hAnsiTheme="majorEastAsia" w:eastAsiaTheme="majorEastAsia" w:cstheme="majorEastAsia"/>
          <w:color w:val="auto"/>
          <w:kern w:val="0"/>
          <w:sz w:val="24"/>
          <w:highlight w:val="none"/>
        </w:rPr>
      </w:pPr>
      <w:r>
        <w:rPr>
          <w:rFonts w:hint="eastAsia" w:asciiTheme="majorEastAsia" w:hAnsiTheme="majorEastAsia" w:eastAsiaTheme="majorEastAsia" w:cstheme="majorEastAsia"/>
          <w:color w:val="auto"/>
          <w:kern w:val="0"/>
          <w:sz w:val="24"/>
          <w:highlight w:val="none"/>
        </w:rPr>
        <w:t>17.1 投标人应按投标文件准备正本1份</w:t>
      </w:r>
      <w:r>
        <w:rPr>
          <w:rFonts w:hint="eastAsia" w:asciiTheme="majorEastAsia" w:hAnsiTheme="majorEastAsia" w:eastAsiaTheme="majorEastAsia" w:cstheme="majorEastAsia"/>
          <w:color w:val="auto"/>
          <w:kern w:val="0"/>
          <w:sz w:val="24"/>
          <w:highlight w:val="none"/>
          <w:lang w:eastAsia="zh-CN"/>
        </w:rPr>
        <w:t>、副本5份</w:t>
      </w:r>
      <w:r>
        <w:rPr>
          <w:rFonts w:hint="eastAsia" w:asciiTheme="majorEastAsia" w:hAnsiTheme="majorEastAsia" w:eastAsiaTheme="majorEastAsia" w:cstheme="majorEastAsia"/>
          <w:color w:val="auto"/>
          <w:kern w:val="0"/>
          <w:sz w:val="24"/>
          <w:highlight w:val="none"/>
          <w:lang w:val="en-US" w:eastAsia="zh-CN"/>
        </w:rPr>
        <w:t>、电子文档（U盘）1份</w:t>
      </w:r>
      <w:r>
        <w:rPr>
          <w:rFonts w:hint="eastAsia" w:asciiTheme="majorEastAsia" w:hAnsiTheme="majorEastAsia" w:eastAsiaTheme="majorEastAsia" w:cstheme="majorEastAsia"/>
          <w:color w:val="auto"/>
          <w:kern w:val="0"/>
          <w:sz w:val="24"/>
          <w:highlight w:val="none"/>
        </w:rPr>
        <w:t>。</w:t>
      </w:r>
    </w:p>
    <w:p>
      <w:pPr>
        <w:tabs>
          <w:tab w:val="left" w:pos="1095"/>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17.2 </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的正本需打印或用不褪色、不变质的墨水书写，并由投标人的法定代表人或其授权代表人在规定处签字和盖鲜章。</w:t>
      </w:r>
    </w:p>
    <w:p>
      <w:pPr>
        <w:tabs>
          <w:tab w:val="left" w:pos="1095"/>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17.3 </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的打印和书写应清楚工整，任何行间插字、涂改或增删，必须由投标人的法定代表人或其授权代表签字或盖个人印鉴。若投标文件字迹潦草、表述模糊或存在多重解读可能，则将可能被判定为无效投标。</w:t>
      </w:r>
    </w:p>
    <w:p>
      <w:pPr>
        <w:tabs>
          <w:tab w:val="left" w:pos="1080"/>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17.4 </w:t>
      </w:r>
      <w:r>
        <w:rPr>
          <w:rFonts w:hint="eastAsia" w:ascii="宋体" w:hAnsi="宋体" w:eastAsia="宋体" w:cs="宋体"/>
          <w:b/>
          <w:color w:val="auto"/>
          <w:sz w:val="24"/>
          <w:szCs w:val="24"/>
          <w:highlight w:val="none"/>
          <w:lang w:val="zh-CN"/>
        </w:rPr>
        <w:t>投标文件</w:t>
      </w:r>
      <w:r>
        <w:rPr>
          <w:rFonts w:hint="eastAsia" w:ascii="宋体" w:hAnsi="宋体" w:eastAsia="宋体" w:cs="宋体"/>
          <w:b/>
          <w:color w:val="auto"/>
          <w:sz w:val="24"/>
          <w:szCs w:val="24"/>
          <w:highlight w:val="none"/>
        </w:rPr>
        <w:t>正</w:t>
      </w:r>
      <w:r>
        <w:rPr>
          <w:rFonts w:hint="eastAsia" w:hAnsi="宋体" w:eastAsia="宋体" w:cs="宋体"/>
          <w:b/>
          <w:color w:val="auto"/>
          <w:sz w:val="24"/>
          <w:szCs w:val="24"/>
          <w:highlight w:val="none"/>
          <w:lang w:eastAsia="zh-CN"/>
        </w:rPr>
        <w:t>本、</w:t>
      </w:r>
      <w:r>
        <w:rPr>
          <w:rFonts w:hint="eastAsia" w:ascii="宋体" w:hAnsi="宋体" w:eastAsia="宋体" w:cs="宋体"/>
          <w:b/>
          <w:color w:val="auto"/>
          <w:sz w:val="24"/>
          <w:szCs w:val="24"/>
          <w:highlight w:val="none"/>
        </w:rPr>
        <w:t>副本必须以项目品名为单位装订成册，必须胶装，不得散装或者合页装订（实质性要求）</w:t>
      </w:r>
      <w:r>
        <w:rPr>
          <w:rFonts w:hint="eastAsia" w:ascii="宋体" w:hAnsi="宋体" w:eastAsia="宋体" w:cs="宋体"/>
          <w:color w:val="auto"/>
          <w:sz w:val="24"/>
          <w:szCs w:val="24"/>
          <w:highlight w:val="none"/>
        </w:rPr>
        <w:t>。</w:t>
      </w:r>
    </w:p>
    <w:p>
      <w:pPr>
        <w:tabs>
          <w:tab w:val="left" w:pos="1080"/>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17.5 </w:t>
      </w:r>
      <w:r>
        <w:rPr>
          <w:rFonts w:hint="eastAsia" w:asciiTheme="majorEastAsia" w:hAnsiTheme="majorEastAsia" w:eastAsiaTheme="majorEastAsia" w:cstheme="majorEastAsia"/>
          <w:color w:val="auto"/>
          <w:sz w:val="24"/>
          <w:szCs w:val="24"/>
          <w:highlight w:val="none"/>
          <w:lang w:val="zh-CN"/>
        </w:rPr>
        <w:t>投标文件须严格遵循招标文件之规定进行编制，确保签署、盖章齐全，且内容完整无误。</w:t>
      </w:r>
    </w:p>
    <w:p>
      <w:pPr>
        <w:tabs>
          <w:tab w:val="left" w:pos="1080"/>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17.6 </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统一用A4幅面纸印制（图纸除外），逐页编码。</w:t>
      </w:r>
    </w:p>
    <w:p>
      <w:pPr>
        <w:tabs>
          <w:tab w:val="left" w:pos="1080"/>
        </w:tabs>
        <w:ind w:right="105" w:firstLine="460" w:firstLineChars="192"/>
        <w:rPr>
          <w:rFonts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1</w:t>
      </w:r>
      <w:r>
        <w:rPr>
          <w:rFonts w:hint="eastAsia" w:asciiTheme="majorEastAsia" w:hAnsiTheme="majorEastAsia" w:eastAsiaTheme="majorEastAsia" w:cstheme="majorEastAsia"/>
          <w:color w:val="auto"/>
          <w:sz w:val="24"/>
          <w:szCs w:val="24"/>
          <w:highlight w:val="none"/>
        </w:rPr>
        <w:t>7</w:t>
      </w:r>
      <w:r>
        <w:rPr>
          <w:rFonts w:hint="eastAsia" w:asciiTheme="majorEastAsia" w:hAnsiTheme="majorEastAsia" w:eastAsiaTheme="majorEastAsia" w:cstheme="majorEastAsia"/>
          <w:color w:val="auto"/>
          <w:sz w:val="24"/>
          <w:szCs w:val="24"/>
          <w:highlight w:val="none"/>
          <w:lang w:val="zh-CN"/>
        </w:rPr>
        <w:t>.7 本次采购要求的复印件是指对图文进行复制后的文件，包括扫描、复印、影印等方式复制的材料。</w:t>
      </w:r>
    </w:p>
    <w:p>
      <w:pPr>
        <w:tabs>
          <w:tab w:val="left" w:pos="1080"/>
        </w:tabs>
        <w:ind w:right="105" w:firstLine="460" w:firstLineChars="192"/>
        <w:rPr>
          <w:rFonts w:asciiTheme="majorEastAsia" w:hAnsiTheme="majorEastAsia" w:eastAsiaTheme="majorEastAsia" w:cstheme="majorEastAsia"/>
          <w:b/>
          <w:bCs/>
          <w:color w:val="auto"/>
          <w:sz w:val="24"/>
          <w:szCs w:val="24"/>
          <w:highlight w:val="none"/>
          <w:lang w:val="zh-CN"/>
        </w:rPr>
      </w:pPr>
      <w:r>
        <w:rPr>
          <w:rFonts w:hint="eastAsia" w:asciiTheme="majorEastAsia" w:hAnsiTheme="majorEastAsia" w:eastAsiaTheme="majorEastAsia" w:cstheme="majorEastAsia"/>
          <w:b/>
          <w:bCs/>
          <w:color w:val="auto"/>
          <w:sz w:val="24"/>
          <w:szCs w:val="24"/>
          <w:highlight w:val="none"/>
          <w:lang w:val="zh-CN"/>
        </w:rPr>
        <w:t>1</w:t>
      </w:r>
      <w:r>
        <w:rPr>
          <w:rFonts w:hint="eastAsia" w:asciiTheme="majorEastAsia" w:hAnsiTheme="majorEastAsia" w:eastAsiaTheme="majorEastAsia" w:cstheme="majorEastAsia"/>
          <w:b/>
          <w:bCs/>
          <w:color w:val="auto"/>
          <w:sz w:val="24"/>
          <w:szCs w:val="24"/>
          <w:highlight w:val="none"/>
        </w:rPr>
        <w:t>8</w:t>
      </w:r>
      <w:r>
        <w:rPr>
          <w:rFonts w:hint="eastAsia" w:asciiTheme="majorEastAsia" w:hAnsiTheme="majorEastAsia" w:eastAsiaTheme="majorEastAsia" w:cstheme="majorEastAsia"/>
          <w:b/>
          <w:bCs/>
          <w:color w:val="auto"/>
          <w:sz w:val="24"/>
          <w:szCs w:val="24"/>
          <w:highlight w:val="none"/>
          <w:lang w:val="zh-CN"/>
        </w:rPr>
        <w:t>. 投标文件的包装、密封和标注</w:t>
      </w:r>
      <w:r>
        <w:rPr>
          <w:rFonts w:hint="eastAsia" w:asciiTheme="majorEastAsia" w:hAnsiTheme="majorEastAsia" w:eastAsiaTheme="majorEastAsia" w:cstheme="majorEastAsia"/>
          <w:b/>
          <w:bCs/>
          <w:color w:val="auto"/>
          <w:sz w:val="24"/>
          <w:szCs w:val="24"/>
          <w:highlight w:val="none"/>
        </w:rPr>
        <w:t>（实质性要求，不满足为无效投标）</w:t>
      </w:r>
    </w:p>
    <w:p>
      <w:pPr>
        <w:tabs>
          <w:tab w:val="left" w:pos="1080"/>
        </w:tabs>
        <w:ind w:right="105" w:firstLine="460" w:firstLineChars="192"/>
        <w:rPr>
          <w:rFonts w:asciiTheme="majorEastAsia" w:hAnsiTheme="majorEastAsia" w:eastAsiaTheme="majorEastAsia" w:cstheme="majorEastAsia"/>
          <w:color w:val="auto"/>
          <w:sz w:val="24"/>
          <w:szCs w:val="24"/>
          <w:highlight w:val="none"/>
          <w:lang w:val="zh-CN"/>
        </w:rPr>
      </w:pPr>
      <w:r>
        <w:rPr>
          <w:rFonts w:hint="eastAsia" w:asciiTheme="majorEastAsia" w:hAnsiTheme="majorEastAsia" w:eastAsiaTheme="majorEastAsia" w:cstheme="majorEastAsia"/>
          <w:color w:val="auto"/>
          <w:sz w:val="24"/>
          <w:szCs w:val="24"/>
          <w:highlight w:val="none"/>
          <w:lang w:val="zh-CN"/>
        </w:rPr>
        <w:t>1</w:t>
      </w:r>
      <w:r>
        <w:rPr>
          <w:rFonts w:hint="eastAsia" w:asciiTheme="majorEastAsia" w:hAnsiTheme="majorEastAsia" w:eastAsiaTheme="majorEastAsia" w:cstheme="majorEastAsia"/>
          <w:color w:val="auto"/>
          <w:sz w:val="24"/>
          <w:szCs w:val="24"/>
          <w:highlight w:val="none"/>
        </w:rPr>
        <w:t>8</w:t>
      </w:r>
      <w:r>
        <w:rPr>
          <w:rFonts w:hint="eastAsia" w:asciiTheme="majorEastAsia" w:hAnsiTheme="majorEastAsia" w:eastAsiaTheme="majorEastAsia" w:cstheme="majorEastAsia"/>
          <w:color w:val="auto"/>
          <w:sz w:val="24"/>
          <w:szCs w:val="24"/>
          <w:highlight w:val="none"/>
          <w:lang w:val="zh-CN"/>
        </w:rPr>
        <w:t>.1投标人应在投标文件正本的封面上注明投标人名称、项目名称及标段号（如有）。</w:t>
      </w:r>
    </w:p>
    <w:p>
      <w:pPr>
        <w:tabs>
          <w:tab w:val="left" w:pos="1080"/>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18.2所有外层密封袋的封口处应粘贴牢固，并加盖密封章（投标人单位公章）。</w:t>
      </w:r>
    </w:p>
    <w:p>
      <w:pPr>
        <w:tabs>
          <w:tab w:val="left" w:pos="1095"/>
        </w:tabs>
        <w:ind w:right="105" w:firstLine="460" w:firstLineChars="192"/>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color w:val="auto"/>
          <w:sz w:val="24"/>
          <w:szCs w:val="24"/>
          <w:highlight w:val="none"/>
        </w:rPr>
        <w:t>18.3未按以上要求进行包装和标注的</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将不予接收。未</w:t>
      </w:r>
      <w:r>
        <w:rPr>
          <w:rFonts w:hint="eastAsia" w:asciiTheme="majorEastAsia" w:hAnsiTheme="majorEastAsia" w:eastAsiaTheme="majorEastAsia" w:cstheme="majorEastAsia"/>
          <w:snapToGrid w:val="0"/>
          <w:color w:val="auto"/>
          <w:sz w:val="24"/>
          <w:szCs w:val="24"/>
          <w:highlight w:val="none"/>
        </w:rPr>
        <w:t>按以上要求进行密封的投标文件也将被拒收。</w:t>
      </w:r>
    </w:p>
    <w:p>
      <w:pPr>
        <w:tabs>
          <w:tab w:val="left" w:pos="1095"/>
        </w:tabs>
        <w:ind w:right="105" w:firstLine="460" w:firstLineChars="192"/>
        <w:rPr>
          <w:rFonts w:asciiTheme="majorEastAsia" w:hAnsiTheme="majorEastAsia" w:eastAsiaTheme="majorEastAsia" w:cstheme="majorEastAsia"/>
          <w:b/>
          <w:bCs/>
          <w:snapToGrid w:val="0"/>
          <w:color w:val="auto"/>
          <w:sz w:val="24"/>
          <w:szCs w:val="24"/>
          <w:highlight w:val="none"/>
        </w:rPr>
      </w:pPr>
      <w:r>
        <w:rPr>
          <w:rFonts w:hint="eastAsia" w:asciiTheme="majorEastAsia" w:hAnsiTheme="majorEastAsia" w:eastAsiaTheme="majorEastAsia" w:cstheme="majorEastAsia"/>
          <w:b/>
          <w:bCs/>
          <w:snapToGrid w:val="0"/>
          <w:color w:val="auto"/>
          <w:sz w:val="24"/>
          <w:szCs w:val="24"/>
          <w:highlight w:val="none"/>
        </w:rPr>
        <w:t xml:space="preserve">19. </w:t>
      </w:r>
      <w:r>
        <w:rPr>
          <w:rFonts w:hint="eastAsia" w:asciiTheme="majorEastAsia" w:hAnsiTheme="majorEastAsia" w:eastAsiaTheme="majorEastAsia" w:cstheme="majorEastAsia"/>
          <w:b/>
          <w:bCs/>
          <w:snapToGrid w:val="0"/>
          <w:color w:val="auto"/>
          <w:sz w:val="24"/>
          <w:szCs w:val="24"/>
          <w:highlight w:val="none"/>
          <w:lang w:val="zh-CN"/>
        </w:rPr>
        <w:t>投标文件</w:t>
      </w:r>
      <w:r>
        <w:rPr>
          <w:rFonts w:hint="eastAsia" w:asciiTheme="majorEastAsia" w:hAnsiTheme="majorEastAsia" w:eastAsiaTheme="majorEastAsia" w:cstheme="majorEastAsia"/>
          <w:b/>
          <w:bCs/>
          <w:snapToGrid w:val="0"/>
          <w:color w:val="auto"/>
          <w:sz w:val="24"/>
          <w:szCs w:val="24"/>
          <w:highlight w:val="none"/>
        </w:rPr>
        <w:t>的递交</w:t>
      </w:r>
      <w:r>
        <w:rPr>
          <w:rFonts w:hint="eastAsia" w:asciiTheme="majorEastAsia" w:hAnsiTheme="majorEastAsia" w:eastAsiaTheme="majorEastAsia" w:cstheme="majorEastAsia"/>
          <w:b/>
          <w:bCs/>
          <w:color w:val="auto"/>
          <w:sz w:val="24"/>
          <w:szCs w:val="24"/>
          <w:highlight w:val="none"/>
        </w:rPr>
        <w:t>（实质性要求，不满足为无效投标）</w:t>
      </w:r>
    </w:p>
    <w:p>
      <w:pPr>
        <w:tabs>
          <w:tab w:val="left" w:pos="1095"/>
        </w:tabs>
        <w:ind w:right="105" w:firstLine="460" w:firstLineChars="192"/>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19.1 投标人应在招标文件规定的投标时间内，将所有的投标文件按规定密封后送达开标地点。在招标文件规定的递交投标文件时间外送达的投标文件将被拒收。</w:t>
      </w:r>
    </w:p>
    <w:p>
      <w:pPr>
        <w:tabs>
          <w:tab w:val="left" w:pos="1095"/>
        </w:tabs>
        <w:ind w:right="105" w:firstLine="460" w:firstLineChars="19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snapToGrid w:val="0"/>
          <w:color w:val="auto"/>
          <w:sz w:val="24"/>
          <w:szCs w:val="24"/>
          <w:highlight w:val="none"/>
        </w:rPr>
        <w:t>19.2递交投标文件时，投标文</w:t>
      </w:r>
      <w:r>
        <w:rPr>
          <w:rFonts w:hint="eastAsia" w:asciiTheme="majorEastAsia" w:hAnsiTheme="majorEastAsia" w:eastAsiaTheme="majorEastAsia" w:cstheme="majorEastAsia"/>
          <w:color w:val="auto"/>
          <w:sz w:val="24"/>
          <w:szCs w:val="24"/>
          <w:highlight w:val="none"/>
        </w:rPr>
        <w:t>件外封套上标注的投标人名称和项目名称应当与报名投标人名称和本次招标项目的名称一致。若仅是</w:t>
      </w:r>
      <w:r>
        <w:rPr>
          <w:rFonts w:hint="eastAsia" w:asciiTheme="majorEastAsia" w:hAnsiTheme="majorEastAsia" w:eastAsiaTheme="majorEastAsia" w:cstheme="majorEastAsia"/>
          <w:snapToGrid w:val="0"/>
          <w:color w:val="auto"/>
          <w:sz w:val="24"/>
          <w:szCs w:val="24"/>
          <w:highlight w:val="none"/>
        </w:rPr>
        <w:t>外封套标注不符合上述情况</w:t>
      </w:r>
      <w:r>
        <w:rPr>
          <w:rFonts w:hint="eastAsia" w:asciiTheme="majorEastAsia" w:hAnsiTheme="majorEastAsia" w:eastAsiaTheme="majorEastAsia" w:cstheme="majorEastAsia"/>
          <w:color w:val="auto"/>
          <w:sz w:val="24"/>
          <w:szCs w:val="24"/>
          <w:highlight w:val="none"/>
        </w:rPr>
        <w:t>，投标人可以在开标时当面予以澄清，以有效的澄清材料作为认定</w:t>
      </w:r>
      <w:r>
        <w:rPr>
          <w:rFonts w:hint="eastAsia" w:asciiTheme="majorEastAsia" w:hAnsiTheme="majorEastAsia" w:eastAsiaTheme="majorEastAsia" w:cstheme="majorEastAsia"/>
          <w:snapToGrid w:val="0"/>
          <w:color w:val="auto"/>
          <w:sz w:val="24"/>
          <w:szCs w:val="24"/>
          <w:highlight w:val="none"/>
        </w:rPr>
        <w:t>投标文件</w:t>
      </w:r>
      <w:r>
        <w:rPr>
          <w:rFonts w:hint="eastAsia" w:asciiTheme="majorEastAsia" w:hAnsiTheme="majorEastAsia" w:eastAsiaTheme="majorEastAsia" w:cstheme="majorEastAsia"/>
          <w:color w:val="auto"/>
          <w:sz w:val="24"/>
          <w:szCs w:val="24"/>
          <w:highlight w:val="none"/>
        </w:rPr>
        <w:t>是否有效的依据。</w:t>
      </w:r>
    </w:p>
    <w:p>
      <w:pPr>
        <w:pStyle w:val="8"/>
        <w:ind w:right="105" w:firstLine="482"/>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19.3 投标人授权代表参加投标时，须由本项目授权代表递交投标文件，否则其投标文件将被拒收。</w:t>
      </w:r>
    </w:p>
    <w:p>
      <w:pPr>
        <w:pStyle w:val="102"/>
        <w:tabs>
          <w:tab w:val="left" w:pos="1119"/>
        </w:tabs>
        <w:spacing w:line="360" w:lineRule="auto"/>
        <w:ind w:right="170" w:firstLine="480" w:firstLineChars="200"/>
        <w:jc w:val="left"/>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授权代表递交投标文件时，应出示身份证原件、投标单位法定代表人授权委托书和投标单位为授权代表缴纳社保的承诺函或社保缴纳证明材料。（授权代表的授权委托书、缴纳社保承诺函或社保缴纳证明材料应当制作一式两份，一份由授权代表随身携带，在递交投标文件时出示，另外一份装订在投标文件中）。</w:t>
      </w:r>
    </w:p>
    <w:p>
      <w:pPr>
        <w:pStyle w:val="8"/>
        <w:ind w:right="105" w:firstLine="482"/>
        <w:rPr>
          <w:rFonts w:asciiTheme="majorEastAsia" w:hAnsiTheme="majorEastAsia" w:eastAsiaTheme="majorEastAsia" w:cstheme="majorEastAsia"/>
          <w:b/>
          <w:bCs/>
          <w:color w:val="auto"/>
          <w:sz w:val="24"/>
          <w:szCs w:val="24"/>
          <w:highlight w:val="none"/>
          <w:lang w:val="zh-CN"/>
        </w:rPr>
      </w:pPr>
      <w:r>
        <w:rPr>
          <w:rFonts w:hint="eastAsia" w:asciiTheme="majorEastAsia" w:hAnsiTheme="majorEastAsia" w:eastAsiaTheme="majorEastAsia" w:cstheme="majorEastAsia"/>
          <w:b/>
          <w:bCs/>
          <w:color w:val="auto"/>
          <w:sz w:val="24"/>
          <w:szCs w:val="24"/>
          <w:highlight w:val="none"/>
          <w:lang w:val="zh-CN"/>
        </w:rPr>
        <w:t>2</w:t>
      </w:r>
      <w:r>
        <w:rPr>
          <w:rFonts w:hint="eastAsia" w:asciiTheme="majorEastAsia" w:hAnsiTheme="majorEastAsia" w:eastAsiaTheme="majorEastAsia" w:cstheme="majorEastAsia"/>
          <w:b/>
          <w:bCs/>
          <w:color w:val="auto"/>
          <w:sz w:val="24"/>
          <w:szCs w:val="24"/>
          <w:highlight w:val="none"/>
        </w:rPr>
        <w:t>0</w:t>
      </w:r>
      <w:r>
        <w:rPr>
          <w:rFonts w:hint="eastAsia" w:asciiTheme="majorEastAsia" w:hAnsiTheme="majorEastAsia" w:eastAsiaTheme="majorEastAsia" w:cstheme="majorEastAsia"/>
          <w:b/>
          <w:bCs/>
          <w:color w:val="auto"/>
          <w:sz w:val="24"/>
          <w:szCs w:val="24"/>
          <w:highlight w:val="none"/>
          <w:lang w:val="zh-CN"/>
        </w:rPr>
        <w:t>.投标文件的撤回和修改</w:t>
      </w:r>
    </w:p>
    <w:p>
      <w:pPr>
        <w:pStyle w:val="8"/>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20.1 投标人在递交投标文件后可对其投标文件进行撤回，撤回的书面通知须在递交截止时间之前送达招标人。且该通知需经正式授权的投标人代表签字方为有效。</w:t>
      </w:r>
    </w:p>
    <w:p>
      <w:pPr>
        <w:pStyle w:val="8"/>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20.2投标人在递交投标文件后可对其投标文件进行补充、修改，补充、修改的书面通知以及补充、修改内容须同时在递交截止时间之前送达招标人，且补充、修改通知需经正式授权的投标人代表签字方为有效。补充、修改的内容制作需符合招标文件要求，补充、修改的内容与投标文件不一致的，以补充、修改的内容为准，补充修改的内容作为投标文件的组成部分。</w:t>
      </w:r>
    </w:p>
    <w:p>
      <w:pPr>
        <w:pStyle w:val="8"/>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投标人对投标文件补充修改内容应该按本章第20条规定进行编写、密封、标注和递送，并注明“补充修改”字样。</w:t>
      </w:r>
    </w:p>
    <w:p>
      <w:pPr>
        <w:pStyle w:val="8"/>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20.3 在投标截止时间之后，不接受投标人主动对其投标文件进行任何修改。</w:t>
      </w:r>
    </w:p>
    <w:p>
      <w:pPr>
        <w:pStyle w:val="8"/>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20.4 投标人不得在递交截止时间起至投标文件有效期期满前撤销其投标文件。</w:t>
      </w:r>
    </w:p>
    <w:p>
      <w:pPr>
        <w:ind w:right="105" w:firstLine="470" w:firstLineChars="196"/>
        <w:rPr>
          <w:rFonts w:asciiTheme="majorEastAsia" w:hAnsiTheme="majorEastAsia" w:eastAsiaTheme="majorEastAsia" w:cstheme="majorEastAsia"/>
          <w:b/>
          <w:bCs/>
          <w:color w:val="auto"/>
          <w:sz w:val="24"/>
          <w:szCs w:val="24"/>
          <w:highlight w:val="none"/>
          <w:lang w:val="zh-TW"/>
        </w:rPr>
      </w:pPr>
      <w:r>
        <w:rPr>
          <w:rFonts w:hint="eastAsia" w:asciiTheme="majorEastAsia" w:hAnsiTheme="majorEastAsia" w:eastAsiaTheme="majorEastAsia" w:cstheme="majorEastAsia"/>
          <w:b/>
          <w:bCs/>
          <w:color w:val="auto"/>
          <w:sz w:val="24"/>
          <w:szCs w:val="24"/>
          <w:highlight w:val="none"/>
        </w:rPr>
        <w:t>21</w:t>
      </w:r>
      <w:r>
        <w:rPr>
          <w:rFonts w:hint="eastAsia" w:asciiTheme="majorEastAsia" w:hAnsiTheme="majorEastAsia" w:eastAsiaTheme="majorEastAsia" w:cstheme="majorEastAsia"/>
          <w:b/>
          <w:bCs/>
          <w:color w:val="auto"/>
          <w:sz w:val="24"/>
          <w:szCs w:val="24"/>
          <w:highlight w:val="none"/>
          <w:lang w:val="zh-TW"/>
        </w:rPr>
        <w:t>．</w:t>
      </w:r>
      <w:r>
        <w:rPr>
          <w:rFonts w:hint="eastAsia" w:asciiTheme="majorEastAsia" w:hAnsiTheme="majorEastAsia" w:eastAsiaTheme="majorEastAsia" w:cstheme="majorEastAsia"/>
          <w:b/>
          <w:bCs/>
          <w:color w:val="auto"/>
          <w:sz w:val="24"/>
          <w:szCs w:val="24"/>
          <w:highlight w:val="none"/>
          <w:lang w:val="zh-CN"/>
        </w:rPr>
        <w:t>投标</w:t>
      </w:r>
      <w:r>
        <w:rPr>
          <w:rFonts w:hint="eastAsia" w:asciiTheme="majorEastAsia" w:hAnsiTheme="majorEastAsia" w:eastAsiaTheme="majorEastAsia" w:cstheme="majorEastAsia"/>
          <w:b/>
          <w:bCs/>
          <w:color w:val="auto"/>
          <w:sz w:val="24"/>
          <w:szCs w:val="24"/>
          <w:highlight w:val="none"/>
          <w:lang w:val="zh-TW"/>
        </w:rPr>
        <w:t>保证金</w:t>
      </w:r>
    </w:p>
    <w:p>
      <w:pPr>
        <w:ind w:firstLine="470" w:firstLineChars="196"/>
        <w:rPr>
          <w:rFonts w:asciiTheme="majorEastAsia" w:hAnsiTheme="majorEastAsia" w:eastAsiaTheme="majorEastAsia" w:cstheme="majorEastAsia"/>
          <w:color w:val="auto"/>
          <w:sz w:val="24"/>
          <w:szCs w:val="24"/>
          <w:highlight w:val="none"/>
          <w:lang w:val="zh-TW"/>
        </w:rPr>
      </w:pPr>
      <w:r>
        <w:rPr>
          <w:rFonts w:hint="eastAsia" w:asciiTheme="majorEastAsia" w:hAnsiTheme="majorEastAsia" w:eastAsiaTheme="majorEastAsia" w:cstheme="majorEastAsia"/>
          <w:color w:val="auto"/>
          <w:sz w:val="24"/>
          <w:szCs w:val="24"/>
          <w:highlight w:val="none"/>
          <w:lang w:val="en-US" w:eastAsia="zh-CN"/>
        </w:rPr>
        <w:t>21</w:t>
      </w:r>
      <w:r>
        <w:rPr>
          <w:rFonts w:hint="eastAsia" w:asciiTheme="majorEastAsia" w:hAnsiTheme="majorEastAsia" w:eastAsiaTheme="majorEastAsia" w:cstheme="majorEastAsia"/>
          <w:color w:val="auto"/>
          <w:sz w:val="24"/>
          <w:szCs w:val="24"/>
          <w:highlight w:val="none"/>
          <w:lang w:val="zh-TW"/>
        </w:rPr>
        <w:t>.1投标保证金缴纳方式、金额、缴纳时间、退还方式等详见投标人须知前附表第</w:t>
      </w:r>
      <w:r>
        <w:rPr>
          <w:rFonts w:hint="eastAsia" w:asciiTheme="majorEastAsia" w:hAnsiTheme="majorEastAsia" w:eastAsiaTheme="majorEastAsia" w:cstheme="majorEastAsia"/>
          <w:color w:val="auto"/>
          <w:sz w:val="24"/>
          <w:szCs w:val="24"/>
          <w:highlight w:val="none"/>
          <w:lang w:val="en-US" w:eastAsia="zh-CN"/>
        </w:rPr>
        <w:t>26</w:t>
      </w:r>
      <w:r>
        <w:rPr>
          <w:rFonts w:hint="eastAsia" w:asciiTheme="majorEastAsia" w:hAnsiTheme="majorEastAsia" w:eastAsiaTheme="majorEastAsia" w:cstheme="majorEastAsia"/>
          <w:color w:val="auto"/>
          <w:sz w:val="24"/>
          <w:szCs w:val="24"/>
          <w:highlight w:val="none"/>
          <w:lang w:val="zh-TW"/>
        </w:rPr>
        <w:t>项。</w:t>
      </w:r>
    </w:p>
    <w:p>
      <w:pPr>
        <w:ind w:firstLine="470" w:firstLineChars="196"/>
        <w:rPr>
          <w:rFonts w:asciiTheme="majorEastAsia" w:hAnsiTheme="majorEastAsia" w:eastAsiaTheme="majorEastAsia" w:cstheme="majorEastAsia"/>
          <w:color w:val="auto"/>
          <w:sz w:val="24"/>
          <w:szCs w:val="24"/>
          <w:highlight w:val="none"/>
          <w:lang w:val="zh-TW"/>
        </w:rPr>
      </w:pPr>
      <w:r>
        <w:rPr>
          <w:rFonts w:hint="eastAsia" w:asciiTheme="majorEastAsia" w:hAnsiTheme="majorEastAsia" w:eastAsiaTheme="majorEastAsia" w:cstheme="majorEastAsia"/>
          <w:color w:val="auto"/>
          <w:sz w:val="24"/>
          <w:szCs w:val="24"/>
          <w:highlight w:val="none"/>
          <w:lang w:val="en-US" w:eastAsia="zh-CN"/>
        </w:rPr>
        <w:t>21</w:t>
      </w:r>
      <w:r>
        <w:rPr>
          <w:rFonts w:hint="eastAsia" w:asciiTheme="majorEastAsia" w:hAnsiTheme="majorEastAsia" w:eastAsiaTheme="majorEastAsia" w:cstheme="majorEastAsia"/>
          <w:color w:val="auto"/>
          <w:sz w:val="24"/>
          <w:szCs w:val="24"/>
          <w:highlight w:val="none"/>
          <w:lang w:val="zh-TW"/>
        </w:rPr>
        <w:t>.2 未按招标文件要求在规定时间前交纳规定数额投标保证金的投标文件将被认定为无效投标。</w:t>
      </w:r>
    </w:p>
    <w:p>
      <w:pPr>
        <w:ind w:firstLine="470" w:firstLineChars="196"/>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lang w:val="en-US" w:eastAsia="zh-CN"/>
        </w:rPr>
        <w:t>21</w:t>
      </w:r>
      <w:r>
        <w:rPr>
          <w:rFonts w:hint="eastAsia" w:asciiTheme="majorEastAsia" w:hAnsiTheme="majorEastAsia" w:eastAsiaTheme="majorEastAsia" w:cstheme="majorEastAsia"/>
          <w:color w:val="auto"/>
          <w:sz w:val="24"/>
          <w:szCs w:val="24"/>
          <w:highlight w:val="none"/>
        </w:rPr>
        <w:t>.3下列任何情况发生时，招标</w:t>
      </w:r>
      <w:r>
        <w:rPr>
          <w:rFonts w:hint="eastAsia" w:asciiTheme="majorEastAsia" w:hAnsiTheme="majorEastAsia" w:eastAsiaTheme="majorEastAsia" w:cstheme="majorEastAsia"/>
          <w:color w:val="auto"/>
          <w:sz w:val="24"/>
          <w:szCs w:val="24"/>
          <w:highlight w:val="none"/>
          <w:lang w:val="en-US" w:eastAsia="zh-CN"/>
        </w:rPr>
        <w:t>人</w:t>
      </w:r>
      <w:r>
        <w:rPr>
          <w:rFonts w:hint="eastAsia" w:asciiTheme="majorEastAsia" w:hAnsiTheme="majorEastAsia" w:eastAsiaTheme="majorEastAsia" w:cstheme="majorEastAsia"/>
          <w:color w:val="auto"/>
          <w:sz w:val="24"/>
          <w:szCs w:val="24"/>
          <w:highlight w:val="none"/>
        </w:rPr>
        <w:t>有权不予退还其交纳的</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保证金：</w:t>
      </w:r>
    </w:p>
    <w:p>
      <w:pPr>
        <w:numPr>
          <w:ilvl w:val="0"/>
          <w:numId w:val="3"/>
        </w:numPr>
        <w:ind w:firstLine="470" w:firstLineChars="196"/>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投标人在招标文件规定的</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有效期内撤回投标的；</w:t>
      </w:r>
    </w:p>
    <w:p>
      <w:pPr>
        <w:numPr>
          <w:ilvl w:val="0"/>
          <w:numId w:val="3"/>
        </w:numPr>
        <w:spacing w:line="400" w:lineRule="exact"/>
        <w:ind w:firstLine="470" w:firstLineChars="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在招标人确定中标投标人以前放弃中标候选资格的；</w:t>
      </w:r>
    </w:p>
    <w:p>
      <w:pPr>
        <w:numPr>
          <w:ilvl w:val="0"/>
          <w:numId w:val="3"/>
        </w:numPr>
        <w:spacing w:line="400" w:lineRule="exact"/>
        <w:ind w:firstLine="470" w:firstLineChars="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中标后放弃中标、不领取或者不接收中标通知书的；</w:t>
      </w:r>
    </w:p>
    <w:p>
      <w:pPr>
        <w:numPr>
          <w:ilvl w:val="0"/>
          <w:numId w:val="3"/>
        </w:numPr>
        <w:ind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由于中标投标人的原因未能按照招标文件的规定缴纳履约保证金的；</w:t>
      </w:r>
    </w:p>
    <w:p>
      <w:pPr>
        <w:numPr>
          <w:ilvl w:val="0"/>
          <w:numId w:val="3"/>
        </w:numPr>
        <w:ind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由于中标投标人的原因未能按照招标文件的规定与招标人签订合同的；</w:t>
      </w:r>
    </w:p>
    <w:p>
      <w:pPr>
        <w:numPr>
          <w:ilvl w:val="0"/>
          <w:numId w:val="3"/>
        </w:numPr>
        <w:ind w:firstLine="470" w:firstLineChars="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投标人提供虚假资料的；</w:t>
      </w:r>
    </w:p>
    <w:p>
      <w:pPr>
        <w:ind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w:t>
      </w:r>
      <w:r>
        <w:rPr>
          <w:rFonts w:hint="eastAsia" w:asciiTheme="majorEastAsia" w:hAnsiTheme="majorEastAsia" w:eastAsiaTheme="majorEastAsia" w:cstheme="majorEastAsia"/>
          <w:color w:val="auto"/>
          <w:sz w:val="24"/>
          <w:szCs w:val="24"/>
          <w:highlight w:val="none"/>
          <w:lang w:val="zh-CN"/>
        </w:rPr>
        <w:t>投标</w:t>
      </w:r>
      <w:r>
        <w:rPr>
          <w:rFonts w:hint="eastAsia" w:asciiTheme="majorEastAsia" w:hAnsiTheme="majorEastAsia" w:eastAsiaTheme="majorEastAsia" w:cstheme="majorEastAsia"/>
          <w:color w:val="auto"/>
          <w:sz w:val="24"/>
          <w:szCs w:val="24"/>
          <w:highlight w:val="none"/>
        </w:rPr>
        <w:t>有效期内，投标人在采购活动中有违规、违纪和违法的行为的。</w:t>
      </w:r>
    </w:p>
    <w:p>
      <w:pPr>
        <w:ind w:right="105" w:firstLine="480"/>
        <w:jc w:val="left"/>
        <w:rPr>
          <w:rFonts w:asciiTheme="majorEastAsia" w:hAnsiTheme="majorEastAsia" w:eastAsiaTheme="majorEastAsia" w:cstheme="majorEastAsia"/>
          <w:color w:val="auto"/>
          <w:sz w:val="24"/>
          <w:szCs w:val="24"/>
          <w:highlight w:val="none"/>
        </w:rPr>
      </w:pPr>
    </w:p>
    <w:p>
      <w:pPr>
        <w:pStyle w:val="9"/>
        <w:ind w:right="105" w:firstLine="420"/>
        <w:rPr>
          <w:color w:val="auto"/>
          <w:highlight w:val="none"/>
        </w:rPr>
      </w:pPr>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四、</w:t>
      </w:r>
      <w:r>
        <w:rPr>
          <w:rFonts w:hint="eastAsia" w:asciiTheme="majorEastAsia" w:hAnsiTheme="majorEastAsia" w:eastAsiaTheme="majorEastAsia" w:cstheme="majorEastAsia"/>
          <w:b/>
          <w:bCs/>
          <w:color w:val="auto"/>
          <w:sz w:val="28"/>
          <w:szCs w:val="28"/>
          <w:highlight w:val="none"/>
          <w:lang w:val="zh-CN"/>
        </w:rPr>
        <w:t>开标、评标和中标</w:t>
      </w:r>
    </w:p>
    <w:p>
      <w:pPr>
        <w:ind w:right="105" w:firstLine="482"/>
        <w:rPr>
          <w:rFonts w:asciiTheme="majorEastAsia" w:hAnsiTheme="majorEastAsia" w:eastAsiaTheme="majorEastAsia" w:cstheme="majorEastAsia"/>
          <w:b/>
          <w:bCs/>
          <w:color w:val="auto"/>
          <w:sz w:val="24"/>
          <w:szCs w:val="24"/>
          <w:highlight w:val="none"/>
          <w:lang w:val="zh-CN"/>
        </w:rPr>
      </w:pPr>
      <w:r>
        <w:rPr>
          <w:rFonts w:hint="eastAsia" w:asciiTheme="majorEastAsia" w:hAnsiTheme="majorEastAsia" w:eastAsiaTheme="majorEastAsia" w:cstheme="majorEastAsia"/>
          <w:b/>
          <w:bCs/>
          <w:color w:val="auto"/>
          <w:sz w:val="24"/>
          <w:szCs w:val="24"/>
          <w:highlight w:val="none"/>
        </w:rPr>
        <w:t>22.</w:t>
      </w:r>
      <w:r>
        <w:rPr>
          <w:rFonts w:hint="eastAsia" w:asciiTheme="majorEastAsia" w:hAnsiTheme="majorEastAsia" w:eastAsiaTheme="majorEastAsia" w:cstheme="majorEastAsia"/>
          <w:b/>
          <w:bCs/>
          <w:color w:val="auto"/>
          <w:sz w:val="24"/>
          <w:szCs w:val="24"/>
          <w:highlight w:val="none"/>
          <w:lang w:val="zh-CN"/>
        </w:rPr>
        <w:t>开标</w:t>
      </w:r>
    </w:p>
    <w:p>
      <w:pPr>
        <w:pStyle w:val="8"/>
        <w:ind w:right="105" w:firstLine="480"/>
        <w:rPr>
          <w:color w:val="auto"/>
          <w:highlight w:val="none"/>
        </w:rPr>
      </w:pPr>
      <w:r>
        <w:rPr>
          <w:rFonts w:hint="eastAsia" w:ascii="宋体" w:hAnsi="宋体" w:eastAsia="宋体" w:cs="宋体"/>
          <w:color w:val="auto"/>
          <w:sz w:val="24"/>
          <w:szCs w:val="24"/>
          <w:highlight w:val="none"/>
        </w:rPr>
        <w:t>投标</w:t>
      </w:r>
      <w:r>
        <w:rPr>
          <w:rFonts w:ascii="宋体" w:hAnsi="宋体" w:eastAsia="宋体" w:cs="宋体"/>
          <w:color w:val="auto"/>
          <w:sz w:val="24"/>
          <w:szCs w:val="24"/>
          <w:highlight w:val="none"/>
        </w:rPr>
        <w:t>截止日期</w:t>
      </w:r>
      <w:r>
        <w:rPr>
          <w:rFonts w:hint="eastAsia" w:ascii="宋体" w:hAnsi="宋体" w:eastAsia="宋体" w:cs="宋体"/>
          <w:color w:val="auto"/>
          <w:sz w:val="24"/>
          <w:szCs w:val="24"/>
          <w:highlight w:val="none"/>
        </w:rPr>
        <w:t>结束后</w:t>
      </w:r>
      <w:r>
        <w:rPr>
          <w:rFonts w:ascii="宋体" w:hAnsi="宋体" w:eastAsia="宋体" w:cs="宋体"/>
          <w:color w:val="auto"/>
          <w:sz w:val="24"/>
          <w:szCs w:val="24"/>
          <w:highlight w:val="none"/>
        </w:rPr>
        <w:t>，招标方将对报价文件的密封性及资料的完整性进行核查，并依据此进行初步审查。对于未满足要求的报价，将予以废标处理。招标方将组织内部团队对有效报价执行封闭式议价，并</w:t>
      </w:r>
      <w:r>
        <w:rPr>
          <w:rFonts w:hint="eastAsia" w:ascii="宋体" w:hAnsi="宋体" w:eastAsia="宋体" w:cs="宋体"/>
          <w:color w:val="auto"/>
          <w:sz w:val="24"/>
          <w:szCs w:val="24"/>
          <w:highlight w:val="none"/>
        </w:rPr>
        <w:t>根据情况，通知</w:t>
      </w:r>
      <w:r>
        <w:rPr>
          <w:rFonts w:ascii="宋体" w:hAnsi="宋体" w:eastAsia="宋体" w:cs="宋体"/>
          <w:color w:val="auto"/>
          <w:sz w:val="24"/>
          <w:szCs w:val="24"/>
          <w:highlight w:val="none"/>
        </w:rPr>
        <w:t>投标人在</w:t>
      </w:r>
      <w:r>
        <w:rPr>
          <w:rFonts w:hint="eastAsia" w:ascii="宋体" w:hAnsi="宋体" w:eastAsia="宋体" w:cs="宋体"/>
          <w:color w:val="auto"/>
          <w:sz w:val="24"/>
          <w:szCs w:val="24"/>
          <w:highlight w:val="none"/>
        </w:rPr>
        <w:t>开标</w:t>
      </w:r>
      <w:r>
        <w:rPr>
          <w:rFonts w:ascii="宋体" w:hAnsi="宋体" w:eastAsia="宋体" w:cs="宋体"/>
          <w:color w:val="auto"/>
          <w:sz w:val="24"/>
          <w:szCs w:val="24"/>
          <w:highlight w:val="none"/>
        </w:rPr>
        <w:t>现场进行答辩。</w:t>
      </w:r>
      <w:bookmarkStart w:id="14" w:name="OLE_LINK11"/>
      <w:r>
        <w:rPr>
          <w:rFonts w:hint="eastAsia" w:ascii="宋体" w:hAnsi="宋体" w:eastAsia="宋体" w:cs="宋体"/>
          <w:color w:val="auto"/>
          <w:sz w:val="24"/>
          <w:szCs w:val="24"/>
          <w:highlight w:val="none"/>
          <w:lang w:val="en-US" w:eastAsia="zh-CN"/>
        </w:rPr>
        <w:t>投标人如不满足三家的，由招标领导小组决定是否继续开标。</w:t>
      </w:r>
      <w:bookmarkEnd w:id="14"/>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23.评标</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评标由招标人依法组建的评标小组负责，评标小组按照招标文件规定的评标办法开展评标工作。</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24．开评标过程存档</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开标和评标过程需进行全过程视频监控，并拍摄带有水印的照片，相关资料存储介质需妥善留存归档。</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25.评标结果通知</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招标方将在综合评定投标报价单位后，于议价结束后的3个工作日内，向投标报价单位发出</w:t>
      </w:r>
      <w:r>
        <w:rPr>
          <w:rFonts w:hint="eastAsia" w:asciiTheme="majorEastAsia" w:hAnsiTheme="majorEastAsia" w:eastAsiaTheme="majorEastAsia" w:cstheme="majorEastAsia"/>
          <w:color w:val="auto"/>
          <w:sz w:val="24"/>
          <w:szCs w:val="24"/>
          <w:highlight w:val="none"/>
          <w:lang w:val="en-US" w:eastAsia="zh-CN"/>
        </w:rPr>
        <w:t>书面</w:t>
      </w:r>
      <w:r>
        <w:rPr>
          <w:rFonts w:hint="eastAsia" w:asciiTheme="majorEastAsia" w:hAnsiTheme="majorEastAsia" w:eastAsiaTheme="majorEastAsia" w:cstheme="majorEastAsia"/>
          <w:color w:val="auto"/>
          <w:sz w:val="24"/>
          <w:szCs w:val="24"/>
          <w:highlight w:val="none"/>
        </w:rPr>
        <w:t>通知。招标方对未被选定的投标报价单位，不另发通知，报价资料不予退回，作为备选合作资料留存。</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26.中标通知书</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26.1 中标通知书</w:t>
      </w:r>
      <w:bookmarkStart w:id="15" w:name="OLE_LINK10"/>
      <w:r>
        <w:rPr>
          <w:rFonts w:hint="eastAsia" w:asciiTheme="majorEastAsia" w:hAnsiTheme="majorEastAsia" w:eastAsiaTheme="majorEastAsia" w:cstheme="majorEastAsia"/>
          <w:color w:val="auto"/>
          <w:sz w:val="24"/>
          <w:szCs w:val="24"/>
          <w:highlight w:val="none"/>
        </w:rPr>
        <w:t>以项目</w:t>
      </w:r>
      <w:r>
        <w:rPr>
          <w:rFonts w:hint="eastAsia" w:asciiTheme="majorEastAsia" w:hAnsiTheme="majorEastAsia" w:eastAsiaTheme="majorEastAsia" w:cstheme="majorEastAsia"/>
          <w:color w:val="auto"/>
          <w:sz w:val="24"/>
          <w:szCs w:val="24"/>
          <w:highlight w:val="none"/>
          <w:lang w:eastAsia="zh-CN"/>
        </w:rPr>
        <w:t>标段（</w:t>
      </w:r>
      <w:r>
        <w:rPr>
          <w:rFonts w:hint="eastAsia" w:asciiTheme="majorEastAsia" w:hAnsiTheme="majorEastAsia" w:eastAsiaTheme="majorEastAsia" w:cstheme="majorEastAsia"/>
          <w:color w:val="auto"/>
          <w:sz w:val="24"/>
          <w:szCs w:val="24"/>
          <w:highlight w:val="none"/>
          <w:lang w:val="en-US" w:eastAsia="zh-CN"/>
        </w:rPr>
        <w:t>含项目各品名）</w:t>
      </w:r>
      <w:r>
        <w:rPr>
          <w:rFonts w:hint="eastAsia" w:asciiTheme="majorEastAsia" w:hAnsiTheme="majorEastAsia" w:eastAsiaTheme="majorEastAsia" w:cstheme="majorEastAsia"/>
          <w:color w:val="auto"/>
          <w:sz w:val="24"/>
          <w:szCs w:val="24"/>
          <w:highlight w:val="none"/>
        </w:rPr>
        <w:t>为单位</w:t>
      </w:r>
      <w:bookmarkEnd w:id="15"/>
      <w:r>
        <w:rPr>
          <w:rFonts w:hint="eastAsia" w:asciiTheme="majorEastAsia" w:hAnsiTheme="majorEastAsia" w:eastAsiaTheme="majorEastAsia" w:cstheme="majorEastAsia"/>
          <w:color w:val="auto"/>
          <w:sz w:val="24"/>
          <w:szCs w:val="24"/>
          <w:highlight w:val="none"/>
        </w:rPr>
        <w:t>为签订采购合同的依据之一，是合同的有效组成部分。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26.2 中标通知书对招标人和中标人均具有法律效力。根据《招标投标法》第四十五条的规定，中标通知书对招标人和中标人均具有法律效力。一旦中标通知书发出，招标人不得随意改变中标结果，中标人也不得无正当理由放弃中标项目。若违反此规定，招标人或中标人均应依法承担相应的法律责任。</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26.3中标人的投标文件本应作为无效投标处理或者有采购法律法规规章制度规定的中标无效情形的，招标人认定以后，将宣布发出的中标通知书无效，并收回发出的中标通知书（中标人也应当缴回），依法重新确定中标人或者重新开展采购活动。</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26.4接到通知3日内，中标人应自行领取中标通知书，凭有效身份证明证件及介绍信到招标人处领取书面中标通知书。</w:t>
      </w:r>
    </w:p>
    <w:p>
      <w:pPr>
        <w:pStyle w:val="2"/>
        <w:spacing w:after="0" w:line="360" w:lineRule="auto"/>
        <w:ind w:right="105" w:firstLine="480" w:firstLineChars="200"/>
        <w:rPr>
          <w:rFonts w:asciiTheme="majorEastAsia" w:hAnsiTheme="majorEastAsia" w:eastAsiaTheme="majorEastAsia" w:cstheme="majorEastAsia"/>
          <w:color w:val="auto"/>
          <w:sz w:val="24"/>
          <w:highlight w:val="none"/>
        </w:rPr>
      </w:pPr>
      <w:r>
        <w:rPr>
          <w:rFonts w:hint="eastAsia" w:asciiTheme="majorEastAsia" w:hAnsiTheme="majorEastAsia" w:eastAsiaTheme="majorEastAsia" w:cstheme="majorEastAsia"/>
          <w:color w:val="auto"/>
          <w:kern w:val="0"/>
          <w:sz w:val="24"/>
          <w:highlight w:val="none"/>
        </w:rPr>
        <w:t>26.5 若投标报价单位被选定为中标方，但无法履行其报价承诺中的服务与价格，或未能在规定时间内签署正式合同，或坚持提出额外条件，招标方有权选择其他中标单位</w:t>
      </w:r>
      <w:r>
        <w:rPr>
          <w:rFonts w:hint="eastAsia" w:asciiTheme="majorEastAsia" w:hAnsiTheme="majorEastAsia" w:eastAsiaTheme="majorEastAsia" w:cstheme="majorEastAsia"/>
          <w:color w:val="auto"/>
          <w:kern w:val="0"/>
          <w:sz w:val="24"/>
          <w:szCs w:val="24"/>
          <w:highlight w:val="none"/>
          <w:lang w:val="en-US" w:eastAsia="zh-CN" w:bidi="ar-SA"/>
        </w:rPr>
        <w:t>，投标保证金不予退还，并有权追究责任，要求投标方赔偿因此给招标方造成的经济损失，赔偿金额为招标方项目品名总报价最高限价的5%。</w:t>
      </w:r>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五、签订及履行合同和验收</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27. 签订合同</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27.1 中标人与招标人</w:t>
      </w:r>
      <w:r>
        <w:rPr>
          <w:rFonts w:hint="eastAsia" w:asciiTheme="majorEastAsia" w:hAnsiTheme="majorEastAsia" w:eastAsiaTheme="majorEastAsia" w:cstheme="majorEastAsia"/>
          <w:color w:val="auto"/>
          <w:sz w:val="24"/>
          <w:szCs w:val="24"/>
          <w:highlight w:val="none"/>
          <w:lang w:eastAsia="zh-CN"/>
        </w:rPr>
        <w:t>下属各单位</w:t>
      </w:r>
      <w:r>
        <w:rPr>
          <w:rFonts w:hint="eastAsia" w:asciiTheme="majorEastAsia" w:hAnsiTheme="majorEastAsia" w:eastAsiaTheme="majorEastAsia" w:cstheme="majorEastAsia"/>
          <w:color w:val="auto"/>
          <w:sz w:val="24"/>
          <w:szCs w:val="24"/>
          <w:highlight w:val="none"/>
          <w:lang w:val="en-US" w:eastAsia="zh-CN"/>
        </w:rPr>
        <w:t>四川东辰逸鑫物业服务有限公司</w:t>
      </w:r>
      <w:r>
        <w:rPr>
          <w:rFonts w:hint="eastAsia" w:asciiTheme="majorEastAsia" w:hAnsiTheme="majorEastAsia" w:eastAsiaTheme="majorEastAsia" w:cstheme="majorEastAsia"/>
          <w:color w:val="auto"/>
          <w:sz w:val="24"/>
          <w:szCs w:val="24"/>
          <w:highlight w:val="none"/>
          <w:lang w:eastAsia="zh-CN"/>
        </w:rPr>
        <w:t>、四川东辰物业服务有限公司、</w:t>
      </w:r>
      <w:r>
        <w:rPr>
          <w:rFonts w:hint="eastAsia" w:asciiTheme="majorEastAsia" w:hAnsiTheme="majorEastAsia" w:eastAsiaTheme="majorEastAsia" w:cstheme="majorEastAsia"/>
          <w:color w:val="auto"/>
          <w:sz w:val="24"/>
          <w:szCs w:val="24"/>
          <w:highlight w:val="none"/>
          <w:lang w:val="en-US" w:eastAsia="zh-CN"/>
        </w:rPr>
        <w:t>四川东辰仙海物业服务有限公司、四川辰悦联家物业服务有限公司</w:t>
      </w:r>
      <w:r>
        <w:rPr>
          <w:rFonts w:hint="eastAsia" w:asciiTheme="majorEastAsia" w:hAnsiTheme="majorEastAsia" w:eastAsiaTheme="majorEastAsia" w:cstheme="majorEastAsia"/>
          <w:color w:val="auto"/>
          <w:sz w:val="24"/>
          <w:szCs w:val="24"/>
          <w:highlight w:val="none"/>
        </w:rPr>
        <w:t>应在中标通知书发出之日起十五日内</w:t>
      </w:r>
      <w:r>
        <w:rPr>
          <w:rFonts w:hint="eastAsia" w:asciiTheme="majorEastAsia" w:hAnsiTheme="majorEastAsia" w:eastAsiaTheme="majorEastAsia" w:cstheme="majorEastAsia"/>
          <w:color w:val="auto"/>
          <w:sz w:val="24"/>
          <w:szCs w:val="24"/>
          <w:highlight w:val="none"/>
          <w:lang w:eastAsia="zh-CN"/>
        </w:rPr>
        <w:t>，分别</w:t>
      </w:r>
      <w:r>
        <w:rPr>
          <w:rFonts w:hint="eastAsia" w:asciiTheme="majorEastAsia" w:hAnsiTheme="majorEastAsia" w:eastAsiaTheme="majorEastAsia" w:cstheme="majorEastAsia"/>
          <w:color w:val="auto"/>
          <w:sz w:val="24"/>
          <w:szCs w:val="24"/>
          <w:highlight w:val="none"/>
        </w:rPr>
        <w:t>签订</w:t>
      </w:r>
      <w:r>
        <w:rPr>
          <w:rFonts w:hint="eastAsia" w:asciiTheme="majorEastAsia" w:hAnsiTheme="majorEastAsia" w:eastAsiaTheme="majorEastAsia" w:cstheme="majorEastAsia"/>
          <w:color w:val="auto"/>
          <w:sz w:val="24"/>
          <w:szCs w:val="24"/>
          <w:highlight w:val="none"/>
          <w:lang w:eastAsia="zh-CN"/>
        </w:rPr>
        <w:t>保洁、</w:t>
      </w:r>
      <w:r>
        <w:rPr>
          <w:rFonts w:hint="eastAsia" w:asciiTheme="majorEastAsia" w:hAnsiTheme="majorEastAsia" w:eastAsiaTheme="majorEastAsia" w:cstheme="majorEastAsia"/>
          <w:color w:val="auto"/>
          <w:sz w:val="24"/>
          <w:szCs w:val="24"/>
          <w:highlight w:val="none"/>
          <w:lang w:val="en-US" w:eastAsia="zh-CN"/>
        </w:rPr>
        <w:t>绿化</w:t>
      </w:r>
      <w:r>
        <w:rPr>
          <w:rFonts w:hint="eastAsia" w:asciiTheme="majorEastAsia" w:hAnsiTheme="majorEastAsia" w:eastAsiaTheme="majorEastAsia" w:cstheme="majorEastAsia"/>
          <w:color w:val="auto"/>
          <w:sz w:val="24"/>
          <w:szCs w:val="24"/>
          <w:highlight w:val="none"/>
          <w:lang w:eastAsia="zh-CN"/>
        </w:rPr>
        <w:t>服务</w:t>
      </w:r>
      <w:r>
        <w:rPr>
          <w:rFonts w:hint="eastAsia" w:asciiTheme="majorEastAsia" w:hAnsiTheme="majorEastAsia" w:eastAsiaTheme="majorEastAsia" w:cstheme="majorEastAsia"/>
          <w:color w:val="auto"/>
          <w:sz w:val="24"/>
          <w:szCs w:val="24"/>
          <w:highlight w:val="none"/>
        </w:rPr>
        <w:t>采购合同</w:t>
      </w:r>
      <w:r>
        <w:rPr>
          <w:rFonts w:hint="eastAsia" w:asciiTheme="majorEastAsia" w:hAnsiTheme="majorEastAsia" w:eastAsiaTheme="majorEastAsia" w:cstheme="majorEastAsia"/>
          <w:color w:val="auto"/>
          <w:sz w:val="24"/>
          <w:szCs w:val="24"/>
          <w:highlight w:val="none"/>
          <w:lang w:eastAsia="zh-CN"/>
        </w:rPr>
        <w:t>（合同内容见附件）</w:t>
      </w:r>
      <w:r>
        <w:rPr>
          <w:rFonts w:hint="eastAsia" w:asciiTheme="majorEastAsia" w:hAnsiTheme="majorEastAsia" w:eastAsiaTheme="majorEastAsia" w:cstheme="majorEastAsia"/>
          <w:color w:val="auto"/>
          <w:sz w:val="24"/>
          <w:szCs w:val="24"/>
          <w:highlight w:val="none"/>
        </w:rPr>
        <w:t>。由于中标人的原因逾期未与招标人签订采购合同的，将视为放弃中标，取消其中标资格并将按相关规定进行处理。若因招标人原因未与中标人签订合同，招标人应向中标人承担中标人因投标产生的直接损失。</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27.2 招标人不得向中标人提出任何不合理的要求，作为签订合同的条件，不得与中标人私下订立背离合同实质性内容的任何协议，所签订的合同不得对招标文件和中标人</w:t>
      </w:r>
      <w:r>
        <w:rPr>
          <w:rFonts w:hint="eastAsia" w:asciiTheme="majorEastAsia" w:hAnsiTheme="majorEastAsia" w:eastAsiaTheme="majorEastAsia" w:cstheme="majorEastAsia"/>
          <w:color w:val="auto"/>
          <w:sz w:val="24"/>
          <w:szCs w:val="24"/>
          <w:highlight w:val="none"/>
          <w:lang w:val="zh-CN"/>
        </w:rPr>
        <w:t>投标文件</w:t>
      </w:r>
      <w:r>
        <w:rPr>
          <w:rFonts w:hint="eastAsia" w:asciiTheme="majorEastAsia" w:hAnsiTheme="majorEastAsia" w:eastAsiaTheme="majorEastAsia" w:cstheme="majorEastAsia"/>
          <w:color w:val="auto"/>
          <w:sz w:val="24"/>
          <w:szCs w:val="24"/>
          <w:highlight w:val="none"/>
        </w:rPr>
        <w:t>作实质性修改。</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27.3 </w:t>
      </w:r>
      <w:r>
        <w:rPr>
          <w:rFonts w:hint="eastAsia" w:asciiTheme="majorEastAsia" w:hAnsiTheme="majorEastAsia" w:eastAsiaTheme="majorEastAsia" w:cstheme="majorEastAsia"/>
          <w:b/>
          <w:color w:val="auto"/>
          <w:sz w:val="24"/>
          <w:szCs w:val="24"/>
          <w:highlight w:val="none"/>
        </w:rPr>
        <w:t>招标文件、中标人提交的投标文件、投标报价、中标人承诺书、中标通知书、</w:t>
      </w:r>
      <w:r>
        <w:rPr>
          <w:rFonts w:hint="eastAsia" w:asciiTheme="majorEastAsia" w:hAnsiTheme="majorEastAsia" w:eastAsiaTheme="majorEastAsia" w:cstheme="majorEastAsia"/>
          <w:b/>
          <w:bCs/>
          <w:color w:val="auto"/>
          <w:sz w:val="24"/>
          <w:szCs w:val="24"/>
          <w:highlight w:val="none"/>
        </w:rPr>
        <w:t>双方确认的澄清文件</w:t>
      </w:r>
      <w:r>
        <w:rPr>
          <w:rFonts w:hint="eastAsia" w:asciiTheme="majorEastAsia" w:hAnsiTheme="majorEastAsia" w:eastAsiaTheme="majorEastAsia" w:cstheme="majorEastAsia"/>
          <w:b/>
          <w:color w:val="auto"/>
          <w:sz w:val="24"/>
          <w:szCs w:val="24"/>
          <w:highlight w:val="none"/>
        </w:rPr>
        <w:t>等均成为有法律约束力的合同组成内容</w:t>
      </w:r>
      <w:r>
        <w:rPr>
          <w:rFonts w:hint="eastAsia" w:asciiTheme="majorEastAsia" w:hAnsiTheme="majorEastAsia" w:eastAsiaTheme="majorEastAsia" w:cstheme="majorEastAsia"/>
          <w:color w:val="auto"/>
          <w:sz w:val="24"/>
          <w:szCs w:val="24"/>
          <w:highlight w:val="none"/>
        </w:rPr>
        <w:t>。</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28. 本项目不允许合同分包转包</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29. 补充合同</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采购合同履行过程中，需要追加与合同标的相同货物的，在不改变合同其他条款的前提下，可以与中标人协商签订补充合同，该补充合同应当在原采购合同履行过程中，不得在原采购合同履行结束后，且采购货物的名称、价格、履约方式、验收标准等必须与原采购合同一致。</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30、合同签订</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 中标人按《中标通知书》规定的时间、地点签订合同。</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31. 履行合同</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31.1 中标人与招标人</w:t>
      </w:r>
      <w:r>
        <w:rPr>
          <w:rFonts w:hint="eastAsia" w:asciiTheme="majorEastAsia" w:hAnsiTheme="majorEastAsia" w:eastAsiaTheme="majorEastAsia" w:cstheme="majorEastAsia"/>
          <w:color w:val="auto"/>
          <w:sz w:val="24"/>
          <w:szCs w:val="24"/>
          <w:highlight w:val="none"/>
          <w:lang w:eastAsia="zh-CN"/>
        </w:rPr>
        <w:t>下属各单位</w:t>
      </w:r>
      <w:r>
        <w:rPr>
          <w:rFonts w:hint="eastAsia" w:asciiTheme="majorEastAsia" w:hAnsiTheme="majorEastAsia" w:eastAsiaTheme="majorEastAsia" w:cstheme="majorEastAsia"/>
          <w:color w:val="auto"/>
          <w:sz w:val="24"/>
          <w:szCs w:val="24"/>
          <w:highlight w:val="none"/>
          <w:lang w:val="en-US" w:eastAsia="zh-CN"/>
        </w:rPr>
        <w:t>四川东辰逸鑫物业服务有限公司</w:t>
      </w:r>
      <w:r>
        <w:rPr>
          <w:rFonts w:hint="eastAsia" w:asciiTheme="majorEastAsia" w:hAnsiTheme="majorEastAsia" w:eastAsiaTheme="majorEastAsia" w:cstheme="majorEastAsia"/>
          <w:color w:val="auto"/>
          <w:sz w:val="24"/>
          <w:szCs w:val="24"/>
          <w:highlight w:val="none"/>
          <w:lang w:eastAsia="zh-CN"/>
        </w:rPr>
        <w:t>、四川东辰物业服务有限公司、</w:t>
      </w:r>
      <w:r>
        <w:rPr>
          <w:rFonts w:hint="eastAsia" w:asciiTheme="majorEastAsia" w:hAnsiTheme="majorEastAsia" w:eastAsiaTheme="majorEastAsia" w:cstheme="majorEastAsia"/>
          <w:color w:val="auto"/>
          <w:sz w:val="24"/>
          <w:szCs w:val="24"/>
          <w:highlight w:val="none"/>
          <w:lang w:val="en-US" w:eastAsia="zh-CN"/>
        </w:rPr>
        <w:t>四川东辰仙海物业服务有限公司、四川辰悦联家物业服务有限公</w:t>
      </w:r>
      <w:r>
        <w:rPr>
          <w:rFonts w:hint="eastAsia" w:asciiTheme="majorEastAsia" w:hAnsiTheme="majorEastAsia" w:eastAsiaTheme="majorEastAsia" w:cstheme="majorEastAsia"/>
          <w:color w:val="auto"/>
          <w:sz w:val="24"/>
          <w:szCs w:val="24"/>
          <w:highlight w:val="none"/>
          <w:lang w:eastAsia="zh-CN"/>
        </w:rPr>
        <w:t>司签</w:t>
      </w:r>
      <w:r>
        <w:rPr>
          <w:rFonts w:hint="eastAsia" w:asciiTheme="majorEastAsia" w:hAnsiTheme="majorEastAsia" w:eastAsiaTheme="majorEastAsia" w:cstheme="majorEastAsia"/>
          <w:color w:val="auto"/>
          <w:sz w:val="24"/>
          <w:szCs w:val="24"/>
          <w:highlight w:val="none"/>
        </w:rPr>
        <w:t>订合同后，本招标文件附带的合同文本仅供参考，双方的权利与义务应以正式签署的合同文本为准。合同双方需严格遵循合同条款，切实履行各自义务，确保合同顺利执行。</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31.2 在合同履行过程中，如发生合同纠纷，合同双方应按照相关法律法规的有关规定进行处理。</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32. 验收</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32.1按照招标文件相关要求、合同相关约定、月度考核办法及招标人相应管理制度开展验收工作。</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32.2 验收结果不合格的，将依据合同和招标人相关管理制度进行处理。</w:t>
      </w:r>
    </w:p>
    <w:p>
      <w:pPr>
        <w:pStyle w:val="10"/>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Cs/>
          <w:color w:val="auto"/>
          <w:sz w:val="24"/>
          <w:szCs w:val="24"/>
          <w:highlight w:val="none"/>
        </w:rPr>
        <w:t>32.3合同款项支付：</w:t>
      </w:r>
      <w:r>
        <w:rPr>
          <w:rFonts w:hint="eastAsia" w:asciiTheme="majorEastAsia" w:hAnsiTheme="majorEastAsia" w:eastAsiaTheme="majorEastAsia" w:cstheme="majorEastAsia"/>
          <w:color w:val="auto"/>
          <w:sz w:val="24"/>
          <w:szCs w:val="24"/>
          <w:highlight w:val="none"/>
        </w:rPr>
        <w:t>以招标文件第三章商务要求中的付款方式为准。</w:t>
      </w:r>
    </w:p>
    <w:p>
      <w:pPr>
        <w:ind w:right="105" w:firstLine="482"/>
        <w:rPr>
          <w:rFonts w:asciiTheme="majorEastAsia" w:hAnsiTheme="majorEastAsia" w:eastAsiaTheme="majorEastAsia" w:cstheme="majorEastAsia"/>
          <w:b/>
          <w:bCs/>
          <w:color w:val="auto"/>
          <w:sz w:val="24"/>
          <w:szCs w:val="24"/>
          <w:highlight w:val="none"/>
        </w:rPr>
      </w:pPr>
    </w:p>
    <w:p>
      <w:pPr>
        <w:ind w:right="105" w:firstLine="482"/>
        <w:rPr>
          <w:rFonts w:asciiTheme="majorEastAsia" w:hAnsiTheme="majorEastAsia" w:eastAsiaTheme="majorEastAsia" w:cstheme="majorEastAsia"/>
          <w:b/>
          <w:bCs/>
          <w:color w:val="auto"/>
          <w:sz w:val="24"/>
          <w:szCs w:val="24"/>
          <w:highlight w:val="none"/>
        </w:rPr>
      </w:pPr>
    </w:p>
    <w:p>
      <w:pPr>
        <w:ind w:right="105" w:firstLine="482"/>
        <w:rPr>
          <w:rFonts w:asciiTheme="majorEastAsia" w:hAnsiTheme="majorEastAsia" w:eastAsiaTheme="majorEastAsia" w:cstheme="majorEastAsia"/>
          <w:b/>
          <w:bCs/>
          <w:color w:val="auto"/>
          <w:sz w:val="24"/>
          <w:szCs w:val="24"/>
          <w:highlight w:val="none"/>
        </w:rPr>
      </w:pPr>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六、</w:t>
      </w:r>
      <w:r>
        <w:rPr>
          <w:rFonts w:hint="eastAsia" w:asciiTheme="majorEastAsia" w:hAnsiTheme="majorEastAsia" w:eastAsiaTheme="majorEastAsia" w:cstheme="majorEastAsia"/>
          <w:b/>
          <w:bCs/>
          <w:color w:val="auto"/>
          <w:sz w:val="28"/>
          <w:szCs w:val="28"/>
          <w:highlight w:val="none"/>
          <w:lang w:val="zh-CN"/>
        </w:rPr>
        <w:t>投标</w:t>
      </w:r>
      <w:r>
        <w:rPr>
          <w:rFonts w:hint="eastAsia" w:asciiTheme="majorEastAsia" w:hAnsiTheme="majorEastAsia" w:eastAsiaTheme="majorEastAsia" w:cstheme="majorEastAsia"/>
          <w:b/>
          <w:bCs/>
          <w:color w:val="auto"/>
          <w:sz w:val="28"/>
          <w:szCs w:val="28"/>
          <w:highlight w:val="none"/>
        </w:rPr>
        <w:t>纪律要求</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34. 投标人不得具有的情形</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投标人参与投标时，禁止出现以下情形：</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（1）提供虚假材料谋取中标；</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（2）采取不正当手段诋毁、排挤其他投标人；</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（3）与采购单位、其他投标人恶意串通；</w:t>
      </w:r>
    </w:p>
    <w:p>
      <w:pPr>
        <w:ind w:right="105" w:firstLine="480"/>
        <w:rPr>
          <w:rFonts w:asciiTheme="majorEastAsia" w:hAnsiTheme="majorEastAsia" w:eastAsiaTheme="majorEastAsia" w:cstheme="majorEastAsia"/>
          <w:color w:val="auto"/>
          <w:kern w:val="2"/>
          <w:sz w:val="24"/>
          <w:szCs w:val="24"/>
          <w:highlight w:val="none"/>
        </w:rPr>
      </w:pPr>
      <w:r>
        <w:rPr>
          <w:rFonts w:hint="eastAsia" w:asciiTheme="majorEastAsia" w:hAnsiTheme="majorEastAsia" w:eastAsiaTheme="majorEastAsia" w:cstheme="majorEastAsia"/>
          <w:color w:val="auto"/>
          <w:sz w:val="24"/>
          <w:szCs w:val="24"/>
          <w:highlight w:val="none"/>
        </w:rPr>
        <w:t>（4）向采购单位、评标小组</w:t>
      </w:r>
      <w:r>
        <w:rPr>
          <w:rFonts w:hint="eastAsia" w:asciiTheme="majorEastAsia" w:hAnsiTheme="majorEastAsia" w:eastAsiaTheme="majorEastAsia" w:cstheme="majorEastAsia"/>
          <w:color w:val="auto"/>
          <w:kern w:val="2"/>
          <w:sz w:val="24"/>
          <w:szCs w:val="24"/>
          <w:highlight w:val="none"/>
        </w:rPr>
        <w:t>成员行贿或者提供其他不正当利益；</w:t>
      </w:r>
    </w:p>
    <w:p>
      <w:pPr>
        <w:ind w:right="105" w:firstLine="480"/>
        <w:rPr>
          <w:rFonts w:asciiTheme="majorEastAsia" w:hAnsiTheme="majorEastAsia" w:eastAsiaTheme="majorEastAsia" w:cstheme="majorEastAsia"/>
          <w:color w:val="auto"/>
          <w:kern w:val="2"/>
          <w:sz w:val="24"/>
          <w:szCs w:val="24"/>
          <w:highlight w:val="none"/>
        </w:rPr>
      </w:pPr>
      <w:r>
        <w:rPr>
          <w:rFonts w:hint="eastAsia" w:asciiTheme="majorEastAsia" w:hAnsiTheme="majorEastAsia" w:eastAsiaTheme="majorEastAsia" w:cstheme="majorEastAsia"/>
          <w:color w:val="auto"/>
          <w:kern w:val="2"/>
          <w:sz w:val="24"/>
          <w:szCs w:val="24"/>
          <w:highlight w:val="none"/>
        </w:rPr>
        <w:t>（5）在招标过程中与招标采购单位进行协商谈判；</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（6）中标或者中标后无正当理由拒不与招标人签订采购合同；</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（7）未按照招标文件确定的事项签订采购合同；</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（8）将采购合同转包或者违规分包；</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（9）擅自变更、中止或者终止采购合同；</w:t>
      </w:r>
    </w:p>
    <w:p>
      <w:pPr>
        <w:ind w:right="105" w:firstLine="480"/>
        <w:rPr>
          <w:rFonts w:asciiTheme="majorEastAsia" w:hAnsiTheme="majorEastAsia" w:eastAsiaTheme="majorEastAsia" w:cstheme="majorEastAsia"/>
          <w:color w:val="auto"/>
          <w:kern w:val="2"/>
          <w:sz w:val="24"/>
          <w:szCs w:val="24"/>
          <w:highlight w:val="none"/>
        </w:rPr>
      </w:pPr>
      <w:r>
        <w:rPr>
          <w:rFonts w:hint="eastAsia" w:asciiTheme="majorEastAsia" w:hAnsiTheme="majorEastAsia" w:eastAsiaTheme="majorEastAsia" w:cstheme="majorEastAsia"/>
          <w:color w:val="auto"/>
          <w:kern w:val="2"/>
          <w:sz w:val="24"/>
          <w:szCs w:val="24"/>
          <w:highlight w:val="none"/>
        </w:rPr>
        <w:t>（10）拒绝有关部门的监督检查或者向监督检查部门提供虚假情况；</w:t>
      </w:r>
    </w:p>
    <w:p>
      <w:pPr>
        <w:autoSpaceDE w:val="0"/>
        <w:autoSpaceDN w:val="0"/>
        <w:adjustRightInd w:val="0"/>
        <w:ind w:right="105" w:firstLine="480"/>
        <w:jc w:val="left"/>
        <w:rPr>
          <w:rFonts w:asciiTheme="majorEastAsia" w:hAnsiTheme="majorEastAsia" w:eastAsiaTheme="majorEastAsia" w:cstheme="majorEastAsia"/>
          <w:snapToGrid w:val="0"/>
          <w:color w:val="auto"/>
          <w:sz w:val="24"/>
          <w:szCs w:val="24"/>
          <w:highlight w:val="none"/>
        </w:rPr>
      </w:pPr>
      <w:r>
        <w:rPr>
          <w:rFonts w:hint="eastAsia" w:asciiTheme="majorEastAsia" w:hAnsiTheme="majorEastAsia" w:eastAsiaTheme="majorEastAsia" w:cstheme="majorEastAsia"/>
          <w:color w:val="auto"/>
          <w:kern w:val="2"/>
          <w:sz w:val="24"/>
          <w:szCs w:val="24"/>
          <w:highlight w:val="none"/>
        </w:rPr>
        <w:t>（11）</w:t>
      </w:r>
      <w:r>
        <w:rPr>
          <w:rFonts w:hint="eastAsia" w:asciiTheme="majorEastAsia" w:hAnsiTheme="majorEastAsia" w:eastAsiaTheme="majorEastAsia" w:cstheme="majorEastAsia"/>
          <w:snapToGrid w:val="0"/>
          <w:color w:val="auto"/>
          <w:sz w:val="24"/>
          <w:szCs w:val="24"/>
          <w:highlight w:val="none"/>
        </w:rPr>
        <w:t xml:space="preserve">与其他投标人在同一合同项下的采购项目中，同时委托同一个自然人、同一家庭的人员、同一单位的人员作为授权代表的行为。 </w:t>
      </w:r>
    </w:p>
    <w:p>
      <w:pPr>
        <w:autoSpaceDE w:val="0"/>
        <w:autoSpaceDN w:val="0"/>
        <w:adjustRightInd w:val="0"/>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（12）法律法规规定的其他情形。</w:t>
      </w:r>
    </w:p>
    <w:p>
      <w:pPr>
        <w:ind w:right="105" w:firstLine="480"/>
        <w:rPr>
          <w:rFonts w:asciiTheme="majorEastAsia" w:hAnsiTheme="majorEastAsia" w:eastAsiaTheme="majorEastAsia" w:cstheme="majorEastAsia"/>
          <w:color w:val="auto"/>
          <w:kern w:val="2"/>
          <w:sz w:val="24"/>
          <w:szCs w:val="24"/>
          <w:highlight w:val="none"/>
        </w:rPr>
      </w:pPr>
      <w:r>
        <w:rPr>
          <w:rFonts w:hint="eastAsia" w:asciiTheme="majorEastAsia" w:hAnsiTheme="majorEastAsia" w:eastAsiaTheme="majorEastAsia" w:cstheme="majorEastAsia"/>
          <w:color w:val="auto"/>
          <w:kern w:val="2"/>
          <w:sz w:val="24"/>
          <w:szCs w:val="24"/>
          <w:highlight w:val="none"/>
        </w:rPr>
        <w:t>投标人有上述情形的，按照规定追究法律责任，具备（1）－（13）条情形之一的，其投标或中标资格将被取消。</w:t>
      </w:r>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七、质疑</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35. 关于质疑的相关要求详见投标人须知前附表第25项。</w:t>
      </w:r>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八、招标文件的解释说明</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36. 招标文件内容冲突的解决及优先适用次序</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36.1 若招标文件编制的内容存在前后矛盾或不一致，且有时间先后顺序的，则以最后发出的修改、澄清或补正文件为准；若无时间先后顺序，则依据有利于全体投标人的原则进行处理。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36.2 对招标文件的解释，由招标人负责。</w:t>
      </w:r>
    </w:p>
    <w:p>
      <w:pPr>
        <w:ind w:right="105" w:firstLine="562"/>
        <w:jc w:val="center"/>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九、其他</w:t>
      </w:r>
    </w:p>
    <w:p>
      <w:pPr>
        <w:pStyle w:val="8"/>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37. 时间计算</w:t>
      </w:r>
    </w:p>
    <w:p>
      <w:pPr>
        <w:pStyle w:val="8"/>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本招标文件规定按日计算期间的，开始当天不计入，从次日开始计算。期限的最后一日是国家法定节假日的，顺延到节假日后的次日为期限的最后一日。</w:t>
      </w:r>
    </w:p>
    <w:p>
      <w:pPr>
        <w:pStyle w:val="8"/>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招标文件中出现的“天”“日”，均为“日历天”，表述为“工作日”的除外。</w:t>
      </w:r>
    </w:p>
    <w:p>
      <w:pPr>
        <w:pStyle w:val="8"/>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38．本数计算</w:t>
      </w:r>
    </w:p>
    <w:p>
      <w:pPr>
        <w:pStyle w:val="8"/>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本招标文件所称的“以上”、 “以内”包括本数，“以下”“不足”不包括本数。</w:t>
      </w:r>
    </w:p>
    <w:p>
      <w:pPr>
        <w:pStyle w:val="8"/>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39．其他</w:t>
      </w:r>
    </w:p>
    <w:p>
      <w:pPr>
        <w:pStyle w:val="8"/>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本招标文件中所引用的相关法律制度规定，在采购中有变化的，按照变化后的相关法律制度规定执行。本招标文件规定的内容和条款，在本项目投标截止时间届满后，因相关法律制度规定的变化导致不符合相关法律制度规定的，直接按照变化后的相关法律制度规定执行，本招标文件不再作调整。</w:t>
      </w:r>
    </w:p>
    <w:p>
      <w:pPr>
        <w:pStyle w:val="8"/>
        <w:ind w:right="105" w:firstLine="480"/>
        <w:rPr>
          <w:rFonts w:asciiTheme="majorEastAsia" w:hAnsiTheme="majorEastAsia" w:eastAsiaTheme="majorEastAsia" w:cstheme="majorEastAsia"/>
          <w:color w:val="auto"/>
          <w:sz w:val="24"/>
          <w:szCs w:val="24"/>
          <w:highlight w:val="none"/>
        </w:rPr>
      </w:pPr>
    </w:p>
    <w:p>
      <w:pPr>
        <w:ind w:right="105" w:firstLine="480"/>
        <w:rPr>
          <w:rFonts w:asciiTheme="majorEastAsia" w:hAnsiTheme="majorEastAsia" w:eastAsiaTheme="majorEastAsia" w:cstheme="majorEastAsia"/>
          <w:color w:val="auto"/>
          <w:sz w:val="24"/>
          <w:szCs w:val="24"/>
          <w:highlight w:val="none"/>
        </w:rPr>
        <w:sectPr>
          <w:headerReference r:id="rId5" w:type="first"/>
          <w:footerReference r:id="rId8" w:type="first"/>
          <w:headerReference r:id="rId3" w:type="default"/>
          <w:footerReference r:id="rId6" w:type="default"/>
          <w:headerReference r:id="rId4" w:type="even"/>
          <w:footerReference r:id="rId7" w:type="even"/>
          <w:pgSz w:w="11907" w:h="16840"/>
          <w:pgMar w:top="1440" w:right="1463" w:bottom="1327" w:left="1576" w:header="851" w:footer="992" w:gutter="0"/>
          <w:pgNumType w:fmt="decimal"/>
          <w:cols w:space="720" w:num="1"/>
          <w:docGrid w:type="linesAndChars" w:linePitch="312" w:charSpace="0"/>
        </w:sectPr>
      </w:pPr>
    </w:p>
    <w:p>
      <w:pPr>
        <w:pStyle w:val="10"/>
        <w:ind w:right="105" w:firstLine="1928" w:firstLineChars="600"/>
        <w:outlineLvl w:val="0"/>
        <w:rPr>
          <w:rFonts w:asciiTheme="majorEastAsia" w:hAnsiTheme="majorEastAsia" w:eastAsiaTheme="majorEastAsia" w:cstheme="majorEastAsia"/>
          <w:b/>
          <w:color w:val="auto"/>
          <w:sz w:val="32"/>
          <w:szCs w:val="32"/>
          <w:highlight w:val="none"/>
        </w:rPr>
      </w:pPr>
      <w:bookmarkStart w:id="16" w:name="_Toc30734"/>
      <w:r>
        <w:rPr>
          <w:rFonts w:hint="eastAsia" w:asciiTheme="majorEastAsia" w:hAnsiTheme="majorEastAsia" w:eastAsiaTheme="majorEastAsia" w:cstheme="majorEastAsia"/>
          <w:b/>
          <w:color w:val="auto"/>
          <w:sz w:val="32"/>
          <w:szCs w:val="32"/>
          <w:highlight w:val="none"/>
        </w:rPr>
        <w:t>第三章  主要采购内容及技术、商务要求</w:t>
      </w:r>
      <w:bookmarkEnd w:id="16"/>
    </w:p>
    <w:p>
      <w:pPr>
        <w:widowControl/>
        <w:ind w:right="105" w:firstLine="482"/>
        <w:rPr>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一、项目主要采购内容：</w:t>
      </w:r>
    </w:p>
    <w:p>
      <w:pPr>
        <w:pStyle w:val="114"/>
        <w:ind w:firstLine="480"/>
        <w:jc w:val="both"/>
        <w:outlineLvl w:val="9"/>
        <w:rPr>
          <w:rStyle w:val="113"/>
          <w:rFonts w:hint="eastAsia" w:asciiTheme="minorEastAsia" w:hAnsiTheme="minorEastAsia" w:eastAsiaTheme="minorEastAsia" w:cstheme="minorEastAsia"/>
          <w:color w:val="auto"/>
          <w:sz w:val="24"/>
          <w:szCs w:val="24"/>
          <w:highlight w:val="none"/>
        </w:rPr>
      </w:pPr>
      <w:r>
        <w:rPr>
          <w:rStyle w:val="113"/>
          <w:rFonts w:hint="eastAsia" w:asciiTheme="minorEastAsia" w:hAnsiTheme="minorEastAsia" w:eastAsiaTheme="minorEastAsia" w:cstheme="minorEastAsia"/>
          <w:color w:val="auto"/>
          <w:sz w:val="24"/>
          <w:szCs w:val="24"/>
          <w:highlight w:val="none"/>
          <w:lang w:val="zh-Hans" w:eastAsia="zh-Hans"/>
        </w:rPr>
        <w:t>本项目为</w:t>
      </w:r>
      <w:r>
        <w:rPr>
          <w:rFonts w:hint="eastAsia" w:ascii="宋体" w:hAnsi="宋体" w:eastAsia="宋体" w:cs="宋体"/>
          <w:bCs/>
          <w:color w:val="auto"/>
          <w:kern w:val="0"/>
          <w:sz w:val="24"/>
          <w:szCs w:val="24"/>
          <w:highlight w:val="none"/>
          <w:lang w:val="zh-TW" w:eastAsia="zh-TW"/>
        </w:rPr>
        <w:t>2025—2027年东辰集团商业板块</w:t>
      </w:r>
      <w:r>
        <w:rPr>
          <w:rFonts w:hint="eastAsia" w:ascii="宋体" w:hAnsi="宋体" w:eastAsia="宋体" w:cs="宋体"/>
          <w:bCs/>
          <w:color w:val="auto"/>
          <w:kern w:val="0"/>
          <w:sz w:val="24"/>
          <w:szCs w:val="24"/>
          <w:highlight w:val="none"/>
          <w:lang w:val="zh-TW" w:eastAsia="zh-CN"/>
        </w:rPr>
        <w:t>保洁</w:t>
      </w:r>
      <w:r>
        <w:rPr>
          <w:rFonts w:hint="eastAsia" w:ascii="宋体" w:hAnsi="宋体" w:eastAsia="宋体" w:cs="宋体"/>
          <w:bCs/>
          <w:color w:val="auto"/>
          <w:kern w:val="0"/>
          <w:sz w:val="24"/>
          <w:szCs w:val="24"/>
          <w:highlight w:val="none"/>
          <w:lang w:val="zh-TW" w:eastAsia="zh-TW"/>
        </w:rPr>
        <w:t>服务采购</w:t>
      </w:r>
      <w:r>
        <w:rPr>
          <w:rStyle w:val="113"/>
          <w:rFonts w:hint="eastAsia" w:asciiTheme="minorEastAsia" w:hAnsiTheme="minorEastAsia" w:eastAsiaTheme="minorEastAsia" w:cstheme="minorEastAsia"/>
          <w:color w:val="auto"/>
          <w:sz w:val="24"/>
          <w:szCs w:val="24"/>
          <w:highlight w:val="none"/>
          <w:lang w:val="zh-Hans" w:eastAsia="zh-Hans"/>
        </w:rPr>
        <w:t>。本项目经四川东辰集团（股份）有限公司组织统一招标后，</w:t>
      </w:r>
      <w:r>
        <w:rPr>
          <w:rStyle w:val="113"/>
          <w:rFonts w:hint="eastAsia" w:asciiTheme="minorEastAsia" w:hAnsiTheme="minorEastAsia" w:eastAsiaTheme="minorEastAsia" w:cstheme="minorEastAsia"/>
          <w:color w:val="auto"/>
          <w:sz w:val="24"/>
          <w:szCs w:val="24"/>
          <w:highlight w:val="none"/>
          <w:lang w:val="zh-Hans" w:eastAsia="zh-CN"/>
        </w:rPr>
        <w:t>由中标人分别与招标人</w:t>
      </w:r>
      <w:r>
        <w:rPr>
          <w:rFonts w:hint="eastAsia" w:asciiTheme="majorEastAsia" w:hAnsiTheme="majorEastAsia" w:eastAsiaTheme="majorEastAsia" w:cstheme="majorEastAsia"/>
          <w:color w:val="auto"/>
          <w:sz w:val="24"/>
          <w:szCs w:val="24"/>
          <w:highlight w:val="none"/>
          <w:lang w:eastAsia="zh-CN"/>
        </w:rPr>
        <w:t>下属各品名单位</w:t>
      </w:r>
      <w:r>
        <w:rPr>
          <w:rFonts w:hint="eastAsia" w:asciiTheme="majorEastAsia" w:hAnsiTheme="majorEastAsia" w:eastAsiaTheme="majorEastAsia" w:cstheme="majorEastAsia"/>
          <w:color w:val="auto"/>
          <w:sz w:val="24"/>
          <w:szCs w:val="24"/>
          <w:highlight w:val="none"/>
          <w:lang w:val="en-US" w:eastAsia="zh-CN"/>
        </w:rPr>
        <w:t>四川东辰逸鑫物业服务有限公司</w:t>
      </w:r>
      <w:r>
        <w:rPr>
          <w:rFonts w:hint="eastAsia" w:asciiTheme="majorEastAsia" w:hAnsiTheme="majorEastAsia" w:eastAsiaTheme="majorEastAsia" w:cstheme="majorEastAsia"/>
          <w:color w:val="auto"/>
          <w:sz w:val="24"/>
          <w:szCs w:val="24"/>
          <w:highlight w:val="none"/>
          <w:lang w:eastAsia="zh-CN"/>
        </w:rPr>
        <w:t>、四川东辰物业服务有限公司、</w:t>
      </w:r>
      <w:r>
        <w:rPr>
          <w:rFonts w:hint="eastAsia" w:asciiTheme="majorEastAsia" w:hAnsiTheme="majorEastAsia" w:eastAsiaTheme="majorEastAsia" w:cstheme="majorEastAsia"/>
          <w:color w:val="auto"/>
          <w:sz w:val="24"/>
          <w:szCs w:val="24"/>
          <w:highlight w:val="none"/>
          <w:lang w:val="en-US" w:eastAsia="zh-CN"/>
        </w:rPr>
        <w:t>四川东辰仙海物业服务有限公司、四川辰悦联家物业服务有限公</w:t>
      </w:r>
      <w:r>
        <w:rPr>
          <w:rFonts w:hint="eastAsia" w:asciiTheme="majorEastAsia" w:hAnsiTheme="majorEastAsia" w:eastAsiaTheme="majorEastAsia" w:cstheme="majorEastAsia"/>
          <w:color w:val="auto"/>
          <w:sz w:val="24"/>
          <w:szCs w:val="24"/>
          <w:highlight w:val="none"/>
          <w:lang w:eastAsia="zh-CN"/>
        </w:rPr>
        <w:t>司</w:t>
      </w:r>
      <w:r>
        <w:rPr>
          <w:rFonts w:hint="eastAsia" w:asciiTheme="majorEastAsia" w:hAnsiTheme="majorEastAsia" w:eastAsiaTheme="majorEastAsia" w:cstheme="majorEastAsia"/>
          <w:color w:val="auto"/>
          <w:sz w:val="24"/>
          <w:szCs w:val="24"/>
          <w:highlight w:val="none"/>
        </w:rPr>
        <w:t>应在中标通知书发出之日起十五日内签订</w:t>
      </w:r>
      <w:r>
        <w:rPr>
          <w:rFonts w:hint="eastAsia" w:asciiTheme="majorEastAsia" w:hAnsiTheme="majorEastAsia" w:eastAsiaTheme="majorEastAsia" w:cstheme="majorEastAsia"/>
          <w:color w:val="auto"/>
          <w:sz w:val="24"/>
          <w:szCs w:val="24"/>
          <w:highlight w:val="none"/>
          <w:lang w:eastAsia="zh-CN"/>
        </w:rPr>
        <w:t>保洁服务</w:t>
      </w:r>
      <w:r>
        <w:rPr>
          <w:rFonts w:hint="eastAsia" w:asciiTheme="majorEastAsia" w:hAnsiTheme="majorEastAsia" w:eastAsiaTheme="majorEastAsia" w:cstheme="majorEastAsia"/>
          <w:color w:val="auto"/>
          <w:sz w:val="24"/>
          <w:szCs w:val="24"/>
          <w:highlight w:val="none"/>
        </w:rPr>
        <w:t>采购合同</w:t>
      </w:r>
      <w:r>
        <w:rPr>
          <w:rFonts w:hint="eastAsia" w:asciiTheme="majorEastAsia" w:hAnsiTheme="majorEastAsia" w:eastAsiaTheme="majorEastAsia" w:cstheme="majorEastAsia"/>
          <w:color w:val="auto"/>
          <w:sz w:val="24"/>
          <w:szCs w:val="24"/>
          <w:highlight w:val="none"/>
          <w:lang w:eastAsia="zh-CN"/>
        </w:rPr>
        <w:t>（合同内容见附件）</w:t>
      </w:r>
      <w:r>
        <w:rPr>
          <w:rFonts w:hint="eastAsia" w:asciiTheme="majorEastAsia" w:hAnsiTheme="majorEastAsia" w:eastAsiaTheme="majorEastAsia" w:cstheme="majorEastAsia"/>
          <w:color w:val="auto"/>
          <w:sz w:val="24"/>
          <w:szCs w:val="24"/>
          <w:highlight w:val="none"/>
        </w:rPr>
        <w:t>。</w:t>
      </w:r>
    </w:p>
    <w:tbl>
      <w:tblPr>
        <w:tblStyle w:val="31"/>
        <w:tblW w:w="95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4"/>
        <w:gridCol w:w="3033"/>
        <w:gridCol w:w="835"/>
        <w:gridCol w:w="1029"/>
        <w:gridCol w:w="3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5" w:hRule="atLeast"/>
        </w:trPr>
        <w:tc>
          <w:tcPr>
            <w:tcW w:w="1494" w:type="dxa"/>
            <w:noWrap/>
            <w:vAlign w:val="center"/>
          </w:tcPr>
          <w:p>
            <w:pPr>
              <w:pStyle w:val="102"/>
              <w:jc w:val="center"/>
              <w:rPr>
                <w:rStyle w:val="113"/>
                <w:rFonts w:asciiTheme="minorEastAsia" w:hAnsiTheme="minorEastAsia" w:eastAsiaTheme="minorEastAsia" w:cstheme="minorEastAsia"/>
                <w:b/>
                <w:bCs/>
                <w:color w:val="auto"/>
                <w:sz w:val="24"/>
                <w:szCs w:val="24"/>
                <w:highlight w:val="none"/>
              </w:rPr>
            </w:pPr>
            <w:r>
              <w:rPr>
                <w:rStyle w:val="113"/>
                <w:rFonts w:hint="eastAsia" w:asciiTheme="minorEastAsia" w:hAnsiTheme="minorEastAsia" w:eastAsiaTheme="minorEastAsia" w:cstheme="minorEastAsia"/>
                <w:b/>
                <w:bCs/>
                <w:color w:val="auto"/>
                <w:sz w:val="24"/>
                <w:szCs w:val="24"/>
                <w:highlight w:val="none"/>
              </w:rPr>
              <w:t>项目名称</w:t>
            </w:r>
          </w:p>
        </w:tc>
        <w:tc>
          <w:tcPr>
            <w:tcW w:w="3033" w:type="dxa"/>
            <w:noWrap/>
            <w:vAlign w:val="center"/>
          </w:tcPr>
          <w:p>
            <w:pPr>
              <w:widowControl/>
              <w:ind w:right="105" w:firstLine="0" w:firstLineChars="0"/>
              <w:jc w:val="center"/>
              <w:rPr>
                <w:rStyle w:val="113"/>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品名</w:t>
            </w:r>
          </w:p>
        </w:tc>
        <w:tc>
          <w:tcPr>
            <w:tcW w:w="835" w:type="dxa"/>
            <w:noWrap/>
            <w:vAlign w:val="center"/>
          </w:tcPr>
          <w:p>
            <w:pPr>
              <w:widowControl/>
              <w:ind w:right="105" w:firstLine="0" w:firstLineChars="0"/>
              <w:jc w:val="center"/>
              <w:rPr>
                <w:rStyle w:val="113"/>
                <w:rFonts w:hint="eastAsia" w:asciiTheme="minorEastAsia" w:hAnsiTheme="minorEastAsia" w:eastAsiaTheme="minorEastAsia" w:cstheme="minorEastAsia"/>
                <w:b/>
                <w:bCs/>
                <w:color w:val="auto"/>
                <w:sz w:val="24"/>
                <w:szCs w:val="24"/>
                <w:highlight w:val="none"/>
                <w:lang w:eastAsia="zh-CN"/>
              </w:rPr>
            </w:pPr>
            <w:r>
              <w:rPr>
                <w:rStyle w:val="113"/>
                <w:rFonts w:hint="eastAsia" w:asciiTheme="minorEastAsia" w:hAnsiTheme="minorEastAsia" w:eastAsiaTheme="minorEastAsia" w:cstheme="minorEastAsia"/>
                <w:b/>
                <w:bCs/>
                <w:color w:val="auto"/>
                <w:sz w:val="24"/>
                <w:szCs w:val="24"/>
                <w:highlight w:val="none"/>
                <w:lang w:eastAsia="zh-CN"/>
              </w:rPr>
              <w:t>数量</w:t>
            </w:r>
          </w:p>
        </w:tc>
        <w:tc>
          <w:tcPr>
            <w:tcW w:w="1029" w:type="dxa"/>
            <w:noWrap/>
            <w:vAlign w:val="center"/>
          </w:tcPr>
          <w:p>
            <w:pPr>
              <w:widowControl/>
              <w:ind w:left="0" w:leftChars="0" w:right="105" w:firstLine="0" w:firstLineChars="0"/>
              <w:jc w:val="center"/>
              <w:rPr>
                <w:rStyle w:val="113"/>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lang w:eastAsia="zh-CN"/>
              </w:rPr>
              <w:t>单位</w:t>
            </w:r>
          </w:p>
        </w:tc>
        <w:tc>
          <w:tcPr>
            <w:tcW w:w="3118" w:type="dxa"/>
            <w:noWrap/>
            <w:vAlign w:val="center"/>
          </w:tcPr>
          <w:p>
            <w:pPr>
              <w:widowControl/>
              <w:ind w:right="105" w:firstLine="0" w:firstLineChars="0"/>
              <w:jc w:val="center"/>
              <w:rPr>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采购金额</w:t>
            </w:r>
            <w:r>
              <w:rPr>
                <w:rFonts w:hint="eastAsia" w:asciiTheme="minorEastAsia" w:hAnsiTheme="minorEastAsia" w:eastAsiaTheme="minorEastAsia" w:cstheme="minorEastAsia"/>
                <w:b/>
                <w:bCs/>
                <w:color w:val="auto"/>
                <w:sz w:val="24"/>
                <w:szCs w:val="24"/>
                <w:highlight w:val="none"/>
                <w:lang w:eastAsia="zh-CN"/>
              </w:rPr>
              <w:t>含税</w:t>
            </w:r>
            <w:r>
              <w:rPr>
                <w:rFonts w:hint="eastAsia" w:asciiTheme="minorEastAsia" w:hAnsiTheme="minorEastAsia" w:eastAsiaTheme="minorEastAsia" w:cstheme="minorEastAsia"/>
                <w:b/>
                <w:bCs/>
                <w:color w:val="auto"/>
                <w:sz w:val="24"/>
                <w:szCs w:val="24"/>
                <w:highlight w:val="none"/>
              </w:rPr>
              <w:t>最高限价</w:t>
            </w:r>
          </w:p>
          <w:p>
            <w:pPr>
              <w:widowControl/>
              <w:ind w:right="105" w:firstLine="0" w:firstLineChars="0"/>
              <w:jc w:val="center"/>
              <w:rPr>
                <w:rStyle w:val="113"/>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(单位：元）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trPr>
        <w:tc>
          <w:tcPr>
            <w:tcW w:w="1494" w:type="dxa"/>
            <w:vMerge w:val="restart"/>
            <w:noWrap/>
            <w:vAlign w:val="top"/>
          </w:tcPr>
          <w:p>
            <w:pPr>
              <w:pStyle w:val="102"/>
              <w:jc w:val="left"/>
              <w:rPr>
                <w:rFonts w:hint="eastAsia" w:ascii="宋体" w:hAnsi="宋体" w:eastAsia="宋体" w:cs="宋体"/>
                <w:bCs/>
                <w:color w:val="auto"/>
                <w:kern w:val="0"/>
                <w:sz w:val="24"/>
                <w:szCs w:val="24"/>
                <w:highlight w:val="none"/>
                <w:lang w:val="zh-TW" w:eastAsia="zh-TW"/>
              </w:rPr>
            </w:pPr>
          </w:p>
          <w:p>
            <w:pPr>
              <w:pStyle w:val="102"/>
              <w:jc w:val="left"/>
              <w:rPr>
                <w:rFonts w:hint="eastAsia" w:ascii="宋体" w:hAnsi="宋体" w:eastAsia="宋体" w:cs="宋体"/>
                <w:bCs/>
                <w:color w:val="auto"/>
                <w:kern w:val="0"/>
                <w:sz w:val="24"/>
                <w:szCs w:val="24"/>
                <w:highlight w:val="none"/>
                <w:lang w:val="zh-TW" w:eastAsia="zh-TW"/>
              </w:rPr>
            </w:pPr>
          </w:p>
          <w:p>
            <w:pPr>
              <w:pStyle w:val="102"/>
              <w:jc w:val="left"/>
              <w:rPr>
                <w:rStyle w:val="113"/>
                <w:rFonts w:asciiTheme="minorEastAsia" w:hAnsiTheme="minorEastAsia" w:eastAsiaTheme="minorEastAsia" w:cstheme="minorEastAsia"/>
                <w:color w:val="auto"/>
                <w:sz w:val="24"/>
                <w:szCs w:val="24"/>
                <w:highlight w:val="none"/>
              </w:rPr>
            </w:pPr>
            <w:r>
              <w:rPr>
                <w:rFonts w:hint="eastAsia" w:ascii="宋体" w:hAnsi="宋体" w:eastAsia="宋体" w:cs="宋体"/>
                <w:bCs/>
                <w:color w:val="auto"/>
                <w:kern w:val="0"/>
                <w:sz w:val="24"/>
                <w:szCs w:val="24"/>
                <w:highlight w:val="none"/>
                <w:lang w:val="zh-TW" w:eastAsia="zh-TW"/>
              </w:rPr>
              <w:t>2025—2027年东辰集团</w:t>
            </w:r>
            <w:r>
              <w:rPr>
                <w:rFonts w:hint="eastAsia" w:ascii="宋体" w:hAnsi="宋体" w:eastAsia="宋体" w:cs="宋体"/>
                <w:bCs/>
                <w:color w:val="auto"/>
                <w:kern w:val="0"/>
                <w:sz w:val="24"/>
                <w:szCs w:val="24"/>
                <w:highlight w:val="none"/>
                <w:lang w:val="en-US" w:eastAsia="zh-CN"/>
              </w:rPr>
              <w:t>物</w:t>
            </w:r>
            <w:r>
              <w:rPr>
                <w:rFonts w:hint="eastAsia" w:ascii="宋体" w:hAnsi="宋体" w:eastAsia="宋体" w:cs="宋体"/>
                <w:bCs/>
                <w:color w:val="auto"/>
                <w:kern w:val="0"/>
                <w:sz w:val="24"/>
                <w:szCs w:val="24"/>
                <w:highlight w:val="none"/>
                <w:lang w:val="zh-TW" w:eastAsia="zh-TW"/>
              </w:rPr>
              <w:t>业板块</w:t>
            </w:r>
            <w:r>
              <w:rPr>
                <w:rFonts w:hint="eastAsia" w:ascii="宋体" w:hAnsi="宋体" w:eastAsia="宋体" w:cs="宋体"/>
                <w:bCs/>
                <w:color w:val="auto"/>
                <w:kern w:val="0"/>
                <w:sz w:val="24"/>
                <w:szCs w:val="24"/>
                <w:highlight w:val="none"/>
                <w:lang w:val="zh-TW" w:eastAsia="zh-CN"/>
              </w:rPr>
              <w:t>保洁、</w:t>
            </w:r>
            <w:r>
              <w:rPr>
                <w:rFonts w:hint="eastAsia" w:ascii="宋体" w:hAnsi="宋体" w:eastAsia="宋体" w:cs="宋体"/>
                <w:bCs/>
                <w:color w:val="auto"/>
                <w:kern w:val="0"/>
                <w:sz w:val="24"/>
                <w:szCs w:val="24"/>
                <w:highlight w:val="none"/>
                <w:lang w:val="en-US" w:eastAsia="zh-CN"/>
              </w:rPr>
              <w:t>绿化</w:t>
            </w:r>
            <w:r>
              <w:rPr>
                <w:rFonts w:hint="eastAsia" w:ascii="宋体" w:hAnsi="宋体" w:eastAsia="宋体" w:cs="宋体"/>
                <w:bCs/>
                <w:color w:val="auto"/>
                <w:kern w:val="0"/>
                <w:sz w:val="24"/>
                <w:szCs w:val="24"/>
                <w:highlight w:val="none"/>
                <w:lang w:val="zh-TW" w:eastAsia="zh-TW"/>
              </w:rPr>
              <w:t>服务采购</w:t>
            </w:r>
          </w:p>
        </w:tc>
        <w:tc>
          <w:tcPr>
            <w:tcW w:w="3033" w:type="dxa"/>
            <w:shd w:val="clear" w:color="auto" w:fill="auto"/>
            <w:noWrap/>
            <w:vAlign w:val="center"/>
          </w:tcPr>
          <w:p>
            <w:pPr>
              <w:pStyle w:val="102"/>
              <w:jc w:val="both"/>
              <w:rPr>
                <w:rFonts w:hint="eastAsia" w:ascii="宋体" w:hAnsi="宋体" w:eastAsia="宋体" w:cs="宋体"/>
                <w:color w:val="auto"/>
                <w:kern w:val="2"/>
                <w:sz w:val="24"/>
                <w:szCs w:val="24"/>
                <w:highlight w:val="none"/>
                <w:lang w:val="en-US" w:eastAsia="zh-CN" w:bidi="ar-SA"/>
              </w:rPr>
            </w:pPr>
            <w:r>
              <w:rPr>
                <w:rFonts w:hint="eastAsia" w:asciiTheme="majorEastAsia" w:hAnsiTheme="majorEastAsia" w:eastAsiaTheme="majorEastAsia" w:cstheme="majorEastAsia"/>
                <w:color w:val="auto"/>
                <w:sz w:val="24"/>
                <w:szCs w:val="24"/>
                <w:highlight w:val="none"/>
                <w:lang w:val="en-US" w:eastAsia="zh-CN"/>
              </w:rPr>
              <w:t>四川东辰逸鑫物业服务有限公司</w:t>
            </w:r>
            <w:r>
              <w:rPr>
                <w:rStyle w:val="113"/>
                <w:rFonts w:hint="eastAsia" w:ascii="宋体" w:hAnsi="宋体" w:eastAsia="宋体" w:cs="宋体"/>
                <w:color w:val="auto"/>
                <w:sz w:val="24"/>
                <w:szCs w:val="24"/>
                <w:highlight w:val="none"/>
              </w:rPr>
              <w:t>-</w:t>
            </w:r>
            <w:r>
              <w:rPr>
                <w:rStyle w:val="113"/>
                <w:rFonts w:hint="eastAsia" w:ascii="宋体" w:hAnsi="宋体" w:eastAsia="宋体" w:cs="宋体"/>
                <w:color w:val="auto"/>
                <w:sz w:val="24"/>
                <w:szCs w:val="24"/>
                <w:highlight w:val="none"/>
                <w:lang w:eastAsia="zh-CN"/>
              </w:rPr>
              <w:t>保洁、</w:t>
            </w:r>
            <w:r>
              <w:rPr>
                <w:rStyle w:val="113"/>
                <w:rFonts w:hint="eastAsia" w:ascii="宋体" w:hAnsi="宋体" w:eastAsia="宋体" w:cs="宋体"/>
                <w:color w:val="auto"/>
                <w:sz w:val="24"/>
                <w:szCs w:val="24"/>
                <w:highlight w:val="none"/>
                <w:lang w:val="en-US" w:eastAsia="zh-CN"/>
              </w:rPr>
              <w:t>绿化</w:t>
            </w:r>
            <w:r>
              <w:rPr>
                <w:rStyle w:val="113"/>
                <w:rFonts w:hint="eastAsia" w:ascii="宋体" w:hAnsi="宋体" w:eastAsia="宋体" w:cs="宋体"/>
                <w:color w:val="auto"/>
                <w:sz w:val="24"/>
                <w:szCs w:val="24"/>
                <w:highlight w:val="none"/>
              </w:rPr>
              <w:t>服务</w:t>
            </w:r>
          </w:p>
        </w:tc>
        <w:tc>
          <w:tcPr>
            <w:tcW w:w="835" w:type="dxa"/>
            <w:noWrap/>
            <w:vAlign w:val="center"/>
          </w:tcPr>
          <w:p>
            <w:pPr>
              <w:ind w:left="0" w:leftChars="0" w:right="105" w:rightChars="0" w:firstLine="0" w:firstLineChars="0"/>
              <w:jc w:val="center"/>
              <w:rPr>
                <w:rStyle w:val="113"/>
                <w:rFonts w:asciiTheme="minorEastAsia" w:hAnsiTheme="minorEastAsia" w:eastAsiaTheme="minorEastAsia" w:cstheme="minorEastAsia"/>
                <w:color w:val="auto"/>
                <w:sz w:val="24"/>
                <w:szCs w:val="24"/>
                <w:highlight w:val="none"/>
              </w:rPr>
            </w:pPr>
            <w:r>
              <w:rPr>
                <w:rStyle w:val="113"/>
                <w:rFonts w:hint="eastAsia" w:asciiTheme="minorEastAsia" w:hAnsiTheme="minorEastAsia" w:eastAsiaTheme="minorEastAsia" w:cstheme="minorEastAsia"/>
                <w:color w:val="auto"/>
                <w:sz w:val="24"/>
                <w:szCs w:val="24"/>
                <w:highlight w:val="none"/>
              </w:rPr>
              <w:t>2</w:t>
            </w:r>
          </w:p>
        </w:tc>
        <w:tc>
          <w:tcPr>
            <w:tcW w:w="1029" w:type="dxa"/>
            <w:noWrap/>
            <w:vAlign w:val="center"/>
          </w:tcPr>
          <w:p>
            <w:pPr>
              <w:pStyle w:val="102"/>
              <w:jc w:val="center"/>
              <w:rPr>
                <w:rStyle w:val="113"/>
                <w:rFonts w:asciiTheme="minorEastAsia" w:hAnsiTheme="minorEastAsia" w:eastAsiaTheme="minorEastAsia" w:cstheme="minorEastAsia"/>
                <w:color w:val="auto"/>
                <w:sz w:val="24"/>
                <w:szCs w:val="24"/>
                <w:highlight w:val="none"/>
              </w:rPr>
            </w:pPr>
            <w:r>
              <w:rPr>
                <w:rStyle w:val="113"/>
                <w:rFonts w:hint="eastAsia" w:asciiTheme="minorEastAsia" w:hAnsiTheme="minorEastAsia" w:eastAsiaTheme="minorEastAsia" w:cstheme="minorEastAsia"/>
                <w:color w:val="auto"/>
                <w:sz w:val="24"/>
                <w:szCs w:val="24"/>
                <w:highlight w:val="none"/>
              </w:rPr>
              <w:t>年</w:t>
            </w:r>
          </w:p>
        </w:tc>
        <w:tc>
          <w:tcPr>
            <w:tcW w:w="3118" w:type="dxa"/>
            <w:noWrap/>
            <w:vAlign w:val="center"/>
          </w:tcPr>
          <w:p>
            <w:pPr>
              <w:widowControl/>
              <w:spacing w:line="240" w:lineRule="auto"/>
              <w:ind w:right="105" w:rightChars="0" w:firstLine="0" w:firstLineChars="0"/>
              <w:jc w:val="center"/>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905760.00元/2年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trPr>
        <w:tc>
          <w:tcPr>
            <w:tcW w:w="1494" w:type="dxa"/>
            <w:vMerge w:val="continue"/>
            <w:noWrap/>
            <w:vAlign w:val="top"/>
          </w:tcPr>
          <w:p>
            <w:pPr>
              <w:pStyle w:val="102"/>
              <w:jc w:val="left"/>
              <w:rPr>
                <w:rFonts w:hint="eastAsia" w:ascii="宋体" w:hAnsi="宋体" w:eastAsia="宋体" w:cs="宋体"/>
                <w:bCs/>
                <w:color w:val="auto"/>
                <w:kern w:val="0"/>
                <w:sz w:val="24"/>
                <w:szCs w:val="24"/>
                <w:highlight w:val="none"/>
                <w:lang w:val="zh-TW" w:eastAsia="zh-TW"/>
              </w:rPr>
            </w:pPr>
          </w:p>
        </w:tc>
        <w:tc>
          <w:tcPr>
            <w:tcW w:w="3033" w:type="dxa"/>
            <w:shd w:val="clear" w:color="auto" w:fill="auto"/>
            <w:noWrap/>
            <w:vAlign w:val="center"/>
          </w:tcPr>
          <w:p>
            <w:pPr>
              <w:pStyle w:val="102"/>
              <w:jc w:val="both"/>
              <w:rPr>
                <w:rFonts w:hint="default" w:asciiTheme="majorEastAsia" w:hAnsiTheme="majorEastAsia" w:eastAsiaTheme="majorEastAsia" w:cstheme="majorEastAsia"/>
                <w:color w:val="auto"/>
                <w:sz w:val="24"/>
                <w:szCs w:val="24"/>
                <w:highlight w:val="none"/>
                <w:lang w:val="en-US" w:eastAsia="zh-CN"/>
              </w:rPr>
            </w:pPr>
            <w:r>
              <w:rPr>
                <w:rFonts w:hint="eastAsia" w:asciiTheme="majorEastAsia" w:hAnsiTheme="majorEastAsia" w:eastAsiaTheme="majorEastAsia" w:cstheme="majorEastAsia"/>
                <w:color w:val="auto"/>
                <w:sz w:val="24"/>
                <w:szCs w:val="24"/>
                <w:highlight w:val="none"/>
                <w:lang w:val="en-US" w:eastAsia="zh-CN"/>
              </w:rPr>
              <w:t>四川东辰仙海物业服务有限公司</w:t>
            </w:r>
          </w:p>
        </w:tc>
        <w:tc>
          <w:tcPr>
            <w:tcW w:w="835" w:type="dxa"/>
            <w:noWrap/>
            <w:vAlign w:val="center"/>
          </w:tcPr>
          <w:p>
            <w:pPr>
              <w:ind w:left="0" w:leftChars="0" w:right="105" w:rightChars="0" w:firstLine="0" w:firstLineChars="0"/>
              <w:jc w:val="center"/>
              <w:rPr>
                <w:rStyle w:val="113"/>
                <w:rFonts w:hint="eastAsia" w:asciiTheme="minorEastAsia" w:hAnsiTheme="minorEastAsia" w:eastAsiaTheme="minorEastAsia" w:cstheme="minorEastAsia"/>
                <w:color w:val="auto"/>
                <w:sz w:val="24"/>
                <w:szCs w:val="24"/>
                <w:highlight w:val="none"/>
                <w:lang w:val="en-US" w:eastAsia="zh-CN"/>
              </w:rPr>
            </w:pPr>
            <w:r>
              <w:rPr>
                <w:rStyle w:val="113"/>
                <w:rFonts w:hint="eastAsia" w:asciiTheme="minorEastAsia" w:hAnsiTheme="minorEastAsia" w:eastAsiaTheme="minorEastAsia" w:cstheme="minorEastAsia"/>
                <w:color w:val="auto"/>
                <w:sz w:val="24"/>
                <w:szCs w:val="24"/>
                <w:highlight w:val="none"/>
                <w:lang w:val="en-US" w:eastAsia="zh-CN"/>
              </w:rPr>
              <w:t>2</w:t>
            </w:r>
          </w:p>
        </w:tc>
        <w:tc>
          <w:tcPr>
            <w:tcW w:w="1029" w:type="dxa"/>
            <w:noWrap/>
            <w:vAlign w:val="center"/>
          </w:tcPr>
          <w:p>
            <w:pPr>
              <w:pStyle w:val="102"/>
              <w:jc w:val="center"/>
              <w:rPr>
                <w:rStyle w:val="113"/>
                <w:rFonts w:hint="eastAsia" w:asciiTheme="minorEastAsia" w:hAnsiTheme="minorEastAsia" w:eastAsiaTheme="minorEastAsia" w:cstheme="minorEastAsia"/>
                <w:color w:val="auto"/>
                <w:sz w:val="24"/>
                <w:szCs w:val="24"/>
                <w:highlight w:val="none"/>
                <w:lang w:val="en-US" w:eastAsia="zh-CN"/>
              </w:rPr>
            </w:pPr>
            <w:r>
              <w:rPr>
                <w:rStyle w:val="113"/>
                <w:rFonts w:hint="eastAsia" w:asciiTheme="minorEastAsia" w:hAnsiTheme="minorEastAsia" w:eastAsiaTheme="minorEastAsia" w:cstheme="minorEastAsia"/>
                <w:color w:val="auto"/>
                <w:sz w:val="24"/>
                <w:szCs w:val="24"/>
                <w:highlight w:val="none"/>
                <w:lang w:val="en-US" w:eastAsia="zh-CN"/>
              </w:rPr>
              <w:t>年</w:t>
            </w:r>
          </w:p>
        </w:tc>
        <w:tc>
          <w:tcPr>
            <w:tcW w:w="3118" w:type="dxa"/>
            <w:noWrap/>
            <w:vAlign w:val="center"/>
          </w:tcPr>
          <w:p>
            <w:pPr>
              <w:widowControl/>
              <w:spacing w:line="240" w:lineRule="auto"/>
              <w:ind w:right="105" w:rightChars="0" w:firstLine="0" w:firstLineChars="0"/>
              <w:jc w:val="center"/>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799200.00元/2年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trPr>
        <w:tc>
          <w:tcPr>
            <w:tcW w:w="1494" w:type="dxa"/>
            <w:vMerge w:val="continue"/>
            <w:noWrap/>
            <w:vAlign w:val="top"/>
          </w:tcPr>
          <w:p>
            <w:pPr>
              <w:pStyle w:val="102"/>
              <w:jc w:val="left"/>
              <w:rPr>
                <w:rFonts w:hint="eastAsia" w:ascii="宋体" w:hAnsi="宋体" w:eastAsia="宋体" w:cs="宋体"/>
                <w:bCs/>
                <w:color w:val="auto"/>
                <w:kern w:val="0"/>
                <w:sz w:val="24"/>
                <w:szCs w:val="24"/>
                <w:highlight w:val="none"/>
                <w:lang w:val="zh-TW" w:eastAsia="zh-TW"/>
              </w:rPr>
            </w:pPr>
          </w:p>
        </w:tc>
        <w:tc>
          <w:tcPr>
            <w:tcW w:w="3033" w:type="dxa"/>
            <w:shd w:val="clear" w:color="auto" w:fill="auto"/>
            <w:noWrap/>
            <w:vAlign w:val="center"/>
          </w:tcPr>
          <w:p>
            <w:pPr>
              <w:pStyle w:val="102"/>
              <w:jc w:val="both"/>
              <w:rPr>
                <w:rFonts w:hint="default" w:asciiTheme="majorEastAsia" w:hAnsiTheme="majorEastAsia" w:eastAsiaTheme="majorEastAsia" w:cstheme="majorEastAsia"/>
                <w:color w:val="auto"/>
                <w:sz w:val="24"/>
                <w:szCs w:val="24"/>
                <w:highlight w:val="none"/>
                <w:lang w:val="en-US" w:eastAsia="zh-CN"/>
              </w:rPr>
            </w:pPr>
            <w:r>
              <w:rPr>
                <w:rFonts w:hint="eastAsia" w:asciiTheme="majorEastAsia" w:hAnsiTheme="majorEastAsia" w:eastAsiaTheme="majorEastAsia" w:cstheme="majorEastAsia"/>
                <w:color w:val="auto"/>
                <w:sz w:val="24"/>
                <w:szCs w:val="24"/>
                <w:highlight w:val="none"/>
                <w:lang w:val="en-US" w:eastAsia="zh-CN"/>
              </w:rPr>
              <w:t>四川辰悦联家物业服务有限公司</w:t>
            </w:r>
          </w:p>
        </w:tc>
        <w:tc>
          <w:tcPr>
            <w:tcW w:w="835" w:type="dxa"/>
            <w:noWrap/>
            <w:vAlign w:val="center"/>
          </w:tcPr>
          <w:p>
            <w:pPr>
              <w:ind w:left="0" w:leftChars="0" w:right="105" w:rightChars="0" w:firstLine="0" w:firstLineChars="0"/>
              <w:jc w:val="center"/>
              <w:rPr>
                <w:rStyle w:val="113"/>
                <w:rFonts w:hint="default" w:asciiTheme="minorEastAsia" w:hAnsiTheme="minorEastAsia" w:eastAsiaTheme="minorEastAsia" w:cstheme="minorEastAsia"/>
                <w:color w:val="auto"/>
                <w:sz w:val="24"/>
                <w:szCs w:val="24"/>
                <w:highlight w:val="none"/>
                <w:lang w:val="en-US" w:eastAsia="zh-CN"/>
              </w:rPr>
            </w:pPr>
            <w:r>
              <w:rPr>
                <w:rStyle w:val="113"/>
                <w:rFonts w:hint="eastAsia" w:asciiTheme="minorEastAsia" w:hAnsiTheme="minorEastAsia" w:eastAsiaTheme="minorEastAsia" w:cstheme="minorEastAsia"/>
                <w:color w:val="auto"/>
                <w:sz w:val="24"/>
                <w:szCs w:val="24"/>
                <w:highlight w:val="none"/>
                <w:lang w:val="en-US" w:eastAsia="zh-CN"/>
              </w:rPr>
              <w:t>2</w:t>
            </w:r>
          </w:p>
        </w:tc>
        <w:tc>
          <w:tcPr>
            <w:tcW w:w="1029" w:type="dxa"/>
            <w:noWrap/>
            <w:vAlign w:val="center"/>
          </w:tcPr>
          <w:p>
            <w:pPr>
              <w:pStyle w:val="102"/>
              <w:jc w:val="center"/>
              <w:rPr>
                <w:rStyle w:val="113"/>
                <w:rFonts w:hint="default" w:asciiTheme="minorEastAsia" w:hAnsiTheme="minorEastAsia" w:eastAsiaTheme="minorEastAsia" w:cstheme="minorEastAsia"/>
                <w:color w:val="auto"/>
                <w:sz w:val="24"/>
                <w:szCs w:val="24"/>
                <w:highlight w:val="none"/>
                <w:lang w:val="en-US" w:eastAsia="zh-CN"/>
              </w:rPr>
            </w:pPr>
            <w:r>
              <w:rPr>
                <w:rStyle w:val="113"/>
                <w:rFonts w:hint="eastAsia" w:asciiTheme="minorEastAsia" w:hAnsiTheme="minorEastAsia" w:eastAsiaTheme="minorEastAsia" w:cstheme="minorEastAsia"/>
                <w:color w:val="auto"/>
                <w:sz w:val="24"/>
                <w:szCs w:val="24"/>
                <w:highlight w:val="none"/>
                <w:lang w:val="en-US" w:eastAsia="zh-CN"/>
              </w:rPr>
              <w:t>年</w:t>
            </w:r>
          </w:p>
        </w:tc>
        <w:tc>
          <w:tcPr>
            <w:tcW w:w="3118" w:type="dxa"/>
            <w:noWrap/>
            <w:vAlign w:val="center"/>
          </w:tcPr>
          <w:p>
            <w:pPr>
              <w:widowControl/>
              <w:spacing w:line="240" w:lineRule="auto"/>
              <w:ind w:right="105" w:rightChars="0" w:firstLine="0" w:firstLineChars="0"/>
              <w:jc w:val="center"/>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586080.00元/2年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trPr>
        <w:tc>
          <w:tcPr>
            <w:tcW w:w="1494" w:type="dxa"/>
            <w:vMerge w:val="continue"/>
            <w:noWrap/>
            <w:vAlign w:val="top"/>
          </w:tcPr>
          <w:p>
            <w:pPr>
              <w:pStyle w:val="102"/>
              <w:rPr>
                <w:rStyle w:val="113"/>
                <w:rFonts w:hint="eastAsia" w:asciiTheme="minorEastAsia" w:hAnsiTheme="minorEastAsia" w:eastAsiaTheme="minorEastAsia" w:cstheme="minorEastAsia"/>
                <w:color w:val="auto"/>
                <w:sz w:val="24"/>
                <w:szCs w:val="24"/>
                <w:highlight w:val="none"/>
              </w:rPr>
            </w:pPr>
          </w:p>
        </w:tc>
        <w:tc>
          <w:tcPr>
            <w:tcW w:w="3033" w:type="dxa"/>
            <w:shd w:val="clear" w:color="auto" w:fill="auto"/>
            <w:noWrap/>
            <w:vAlign w:val="center"/>
          </w:tcPr>
          <w:p>
            <w:pPr>
              <w:pStyle w:val="102"/>
              <w:jc w:val="center"/>
              <w:rPr>
                <w:rFonts w:hint="eastAsia" w:ascii="宋体" w:hAnsi="宋体" w:eastAsia="宋体" w:cs="宋体"/>
                <w:color w:val="auto"/>
                <w:kern w:val="2"/>
                <w:sz w:val="24"/>
                <w:szCs w:val="24"/>
                <w:highlight w:val="none"/>
                <w:lang w:val="zh-CN" w:eastAsia="zh-CN" w:bidi="ar-SA"/>
              </w:rPr>
            </w:pPr>
            <w:r>
              <w:rPr>
                <w:rFonts w:hint="eastAsia" w:asciiTheme="majorEastAsia" w:hAnsiTheme="majorEastAsia" w:eastAsiaTheme="majorEastAsia" w:cstheme="majorEastAsia"/>
                <w:color w:val="auto"/>
                <w:sz w:val="24"/>
                <w:szCs w:val="24"/>
                <w:highlight w:val="none"/>
                <w:lang w:eastAsia="zh-CN"/>
              </w:rPr>
              <w:t>四川东辰物业服务有限公司</w:t>
            </w:r>
            <w:r>
              <w:rPr>
                <w:rStyle w:val="113"/>
                <w:rFonts w:hint="eastAsia" w:ascii="宋体" w:hAnsi="宋体" w:eastAsia="宋体" w:cs="宋体"/>
                <w:color w:val="auto"/>
                <w:sz w:val="24"/>
                <w:szCs w:val="24"/>
                <w:highlight w:val="none"/>
              </w:rPr>
              <w:t>-</w:t>
            </w:r>
            <w:r>
              <w:rPr>
                <w:rStyle w:val="113"/>
                <w:rFonts w:hint="eastAsia" w:ascii="宋体" w:hAnsi="宋体" w:eastAsia="宋体" w:cs="宋体"/>
                <w:color w:val="auto"/>
                <w:sz w:val="24"/>
                <w:szCs w:val="24"/>
                <w:highlight w:val="none"/>
                <w:lang w:eastAsia="zh-CN"/>
              </w:rPr>
              <w:t>保洁、</w:t>
            </w:r>
            <w:r>
              <w:rPr>
                <w:rStyle w:val="113"/>
                <w:rFonts w:hint="eastAsia" w:ascii="宋体" w:hAnsi="宋体" w:eastAsia="宋体" w:cs="宋体"/>
                <w:color w:val="auto"/>
                <w:sz w:val="24"/>
                <w:szCs w:val="24"/>
                <w:highlight w:val="none"/>
                <w:lang w:val="en-US" w:eastAsia="zh-CN"/>
              </w:rPr>
              <w:t>绿化</w:t>
            </w:r>
            <w:r>
              <w:rPr>
                <w:rStyle w:val="113"/>
                <w:rFonts w:hint="eastAsia" w:ascii="宋体" w:hAnsi="宋体" w:eastAsia="宋体" w:cs="宋体"/>
                <w:color w:val="auto"/>
                <w:sz w:val="24"/>
                <w:szCs w:val="24"/>
                <w:highlight w:val="none"/>
              </w:rPr>
              <w:t>服务</w:t>
            </w:r>
          </w:p>
        </w:tc>
        <w:tc>
          <w:tcPr>
            <w:tcW w:w="835" w:type="dxa"/>
            <w:noWrap/>
            <w:vAlign w:val="center"/>
          </w:tcPr>
          <w:p>
            <w:pPr>
              <w:ind w:left="0" w:leftChars="0" w:right="105" w:rightChars="0" w:firstLine="0" w:firstLineChars="0"/>
              <w:jc w:val="center"/>
              <w:rPr>
                <w:rStyle w:val="113"/>
                <w:rFonts w:hint="eastAsia" w:asciiTheme="minorEastAsia" w:hAnsiTheme="minorEastAsia" w:eastAsiaTheme="minorEastAsia" w:cstheme="minorEastAsia"/>
                <w:color w:val="auto"/>
                <w:sz w:val="24"/>
                <w:szCs w:val="24"/>
                <w:highlight w:val="none"/>
              </w:rPr>
            </w:pPr>
            <w:r>
              <w:rPr>
                <w:rStyle w:val="113"/>
                <w:rFonts w:hint="eastAsia" w:asciiTheme="minorEastAsia" w:hAnsiTheme="minorEastAsia" w:eastAsiaTheme="minorEastAsia" w:cstheme="minorEastAsia"/>
                <w:color w:val="auto"/>
                <w:sz w:val="24"/>
                <w:szCs w:val="24"/>
                <w:highlight w:val="none"/>
              </w:rPr>
              <w:t>2</w:t>
            </w:r>
          </w:p>
        </w:tc>
        <w:tc>
          <w:tcPr>
            <w:tcW w:w="1029" w:type="dxa"/>
            <w:noWrap/>
            <w:vAlign w:val="center"/>
          </w:tcPr>
          <w:p>
            <w:pPr>
              <w:pStyle w:val="102"/>
              <w:jc w:val="center"/>
              <w:rPr>
                <w:rStyle w:val="113"/>
                <w:rFonts w:hint="eastAsia" w:asciiTheme="minorEastAsia" w:hAnsiTheme="minorEastAsia" w:eastAsiaTheme="minorEastAsia" w:cstheme="minorEastAsia"/>
                <w:color w:val="auto"/>
                <w:sz w:val="24"/>
                <w:szCs w:val="24"/>
                <w:highlight w:val="none"/>
              </w:rPr>
            </w:pPr>
            <w:r>
              <w:rPr>
                <w:rStyle w:val="113"/>
                <w:rFonts w:hint="eastAsia" w:asciiTheme="minorEastAsia" w:hAnsiTheme="minorEastAsia" w:eastAsiaTheme="minorEastAsia" w:cstheme="minorEastAsia"/>
                <w:color w:val="auto"/>
                <w:sz w:val="24"/>
                <w:szCs w:val="24"/>
                <w:highlight w:val="none"/>
              </w:rPr>
              <w:t>年</w:t>
            </w:r>
          </w:p>
        </w:tc>
        <w:tc>
          <w:tcPr>
            <w:tcW w:w="3118" w:type="dxa"/>
            <w:noWrap/>
            <w:vAlign w:val="center"/>
          </w:tcPr>
          <w:p>
            <w:pPr>
              <w:widowControl/>
              <w:spacing w:line="240" w:lineRule="auto"/>
              <w:ind w:right="105" w:rightChars="0" w:firstLine="0" w:firstLineChars="0"/>
              <w:jc w:val="center"/>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266400.00元/2年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trPr>
        <w:tc>
          <w:tcPr>
            <w:tcW w:w="9509" w:type="dxa"/>
            <w:gridSpan w:val="5"/>
            <w:noWrap/>
            <w:vAlign w:val="top"/>
          </w:tcPr>
          <w:p>
            <w:pPr>
              <w:widowControl/>
              <w:ind w:right="105" w:rightChars="0" w:firstLine="0" w:firstLineChars="0"/>
              <w:rPr>
                <w:rStyle w:val="113"/>
                <w:rFonts w:asciiTheme="minorEastAsia" w:hAnsiTheme="minorEastAsia" w:eastAsiaTheme="minorEastAsia" w:cstheme="minorEastAsia"/>
                <w:color w:val="auto"/>
                <w:kern w:val="2"/>
                <w:sz w:val="24"/>
                <w:szCs w:val="24"/>
                <w:highlight w:val="none"/>
              </w:rPr>
            </w:pPr>
            <w:r>
              <w:rPr>
                <w:rStyle w:val="113"/>
                <w:rFonts w:hint="eastAsia" w:asciiTheme="minorEastAsia" w:hAnsiTheme="minorEastAsia" w:eastAsiaTheme="minorEastAsia" w:cstheme="minorEastAsia"/>
                <w:color w:val="auto"/>
                <w:kern w:val="2"/>
                <w:sz w:val="24"/>
                <w:szCs w:val="24"/>
                <w:highlight w:val="none"/>
              </w:rPr>
              <w:t>计划总金额（含税最高限价）</w:t>
            </w:r>
            <w:r>
              <w:rPr>
                <w:rStyle w:val="113"/>
                <w:rFonts w:hint="eastAsia" w:asciiTheme="minorEastAsia" w:hAnsiTheme="minorEastAsia" w:eastAsiaTheme="minorEastAsia" w:cstheme="minorEastAsia"/>
                <w:color w:val="auto"/>
                <w:kern w:val="2"/>
                <w:sz w:val="24"/>
                <w:szCs w:val="24"/>
                <w:highlight w:val="none"/>
                <w:lang w:eastAsia="zh-CN"/>
              </w:rPr>
              <w:t>：</w:t>
            </w:r>
            <w:r>
              <w:rPr>
                <w:rStyle w:val="113"/>
                <w:rFonts w:hint="eastAsia" w:asciiTheme="minorEastAsia" w:hAnsiTheme="minorEastAsia" w:eastAsiaTheme="minorEastAsia" w:cstheme="minorEastAsia"/>
                <w:color w:val="auto"/>
                <w:kern w:val="2"/>
                <w:sz w:val="24"/>
                <w:szCs w:val="24"/>
                <w:highlight w:val="none"/>
                <w:lang w:val="en-US" w:eastAsia="zh-CN"/>
              </w:rPr>
              <w:t>2557440.00</w:t>
            </w:r>
            <w:r>
              <w:rPr>
                <w:rStyle w:val="113"/>
                <w:rFonts w:hint="eastAsia" w:asciiTheme="minorEastAsia" w:hAnsiTheme="minorEastAsia" w:eastAsiaTheme="minorEastAsia" w:cstheme="minorEastAsia"/>
                <w:color w:val="auto"/>
                <w:kern w:val="2"/>
                <w:sz w:val="24"/>
                <w:szCs w:val="24"/>
                <w:highlight w:val="none"/>
              </w:rPr>
              <w:t>元 大写：</w:t>
            </w:r>
            <w:r>
              <w:rPr>
                <w:rStyle w:val="113"/>
                <w:rFonts w:hint="eastAsia" w:asciiTheme="minorEastAsia" w:hAnsiTheme="minorEastAsia" w:eastAsiaTheme="minorEastAsia" w:cstheme="minorEastAsia"/>
                <w:color w:val="auto"/>
                <w:kern w:val="2"/>
                <w:sz w:val="24"/>
                <w:szCs w:val="24"/>
                <w:highlight w:val="none"/>
                <w:lang w:val="en-US" w:eastAsia="zh-CN"/>
              </w:rPr>
              <w:t>贰佰伍拾伍万柒仟肆佰肆拾元整</w:t>
            </w:r>
          </w:p>
        </w:tc>
      </w:tr>
    </w:tbl>
    <w:p>
      <w:pPr>
        <w:widowControl/>
        <w:numPr>
          <w:ilvl w:val="0"/>
          <w:numId w:val="4"/>
        </w:numPr>
        <w:ind w:right="105" w:firstLine="482"/>
        <w:rPr>
          <w:rFonts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b/>
          <w:bCs/>
          <w:color w:val="auto"/>
          <w:sz w:val="24"/>
          <w:szCs w:val="24"/>
          <w:highlight w:val="none"/>
        </w:rPr>
        <w:t>项目服务主要技术及商务要求：</w:t>
      </w:r>
    </w:p>
    <w:p>
      <w:pPr>
        <w:widowControl/>
        <w:ind w:right="105" w:firstLine="482"/>
        <w:rPr>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（一）</w:t>
      </w:r>
      <w:r>
        <w:rPr>
          <w:rFonts w:hint="eastAsia" w:asciiTheme="minorEastAsia" w:hAnsiTheme="minorEastAsia" w:eastAsiaTheme="minorEastAsia" w:cstheme="minorEastAsia"/>
          <w:b/>
          <w:bCs/>
          <w:color w:val="auto"/>
          <w:sz w:val="24"/>
          <w:szCs w:val="24"/>
          <w:highlight w:val="none"/>
          <w:lang w:eastAsia="zh-CN"/>
        </w:rPr>
        <w:t>保洁</w:t>
      </w:r>
      <w:r>
        <w:rPr>
          <w:rFonts w:hint="eastAsia" w:asciiTheme="minorEastAsia" w:hAnsiTheme="minorEastAsia" w:eastAsiaTheme="minorEastAsia" w:cstheme="minorEastAsia"/>
          <w:b/>
          <w:bCs/>
          <w:color w:val="auto"/>
          <w:sz w:val="24"/>
          <w:szCs w:val="24"/>
          <w:highlight w:val="none"/>
        </w:rPr>
        <w:t>人数要求：</w:t>
      </w:r>
    </w:p>
    <w:tbl>
      <w:tblPr>
        <w:tblStyle w:val="31"/>
        <w:tblW w:w="957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984"/>
        <w:gridCol w:w="2212"/>
        <w:gridCol w:w="43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76" w:hRule="atLeast"/>
        </w:trPr>
        <w:tc>
          <w:tcPr>
            <w:tcW w:w="2984" w:type="dxa"/>
            <w:noWrap/>
            <w:vAlign w:val="center"/>
          </w:tcPr>
          <w:p>
            <w:pPr>
              <w:spacing w:line="440" w:lineRule="exact"/>
              <w:ind w:right="105" w:firstLine="0" w:firstLineChars="0"/>
              <w:jc w:val="center"/>
              <w:rPr>
                <w:rFonts w:hAnsi="宋体" w:eastAsia="宋体" w:cs="宋体"/>
                <w:b/>
                <w:color w:val="auto"/>
                <w:sz w:val="24"/>
                <w:szCs w:val="24"/>
                <w:highlight w:val="none"/>
              </w:rPr>
            </w:pPr>
            <w:r>
              <w:rPr>
                <w:rFonts w:hint="eastAsia" w:hAnsi="宋体" w:eastAsia="宋体" w:cs="宋体"/>
                <w:b/>
                <w:color w:val="auto"/>
                <w:sz w:val="24"/>
                <w:szCs w:val="24"/>
                <w:highlight w:val="none"/>
              </w:rPr>
              <w:t>项目品名</w:t>
            </w:r>
          </w:p>
        </w:tc>
        <w:tc>
          <w:tcPr>
            <w:tcW w:w="2212" w:type="dxa"/>
            <w:noWrap/>
            <w:vAlign w:val="center"/>
          </w:tcPr>
          <w:p>
            <w:pPr>
              <w:spacing w:line="440" w:lineRule="exact"/>
              <w:ind w:right="105" w:firstLine="0" w:firstLineChars="0"/>
              <w:jc w:val="center"/>
              <w:rPr>
                <w:rFonts w:hAnsi="宋体" w:eastAsia="宋体" w:cs="宋体"/>
                <w:b/>
                <w:color w:val="auto"/>
                <w:sz w:val="24"/>
                <w:szCs w:val="24"/>
                <w:highlight w:val="none"/>
              </w:rPr>
            </w:pPr>
            <w:r>
              <w:rPr>
                <w:rFonts w:hint="eastAsia" w:hAnsi="宋体" w:eastAsia="宋体" w:cs="宋体"/>
                <w:b/>
                <w:color w:val="auto"/>
                <w:sz w:val="24"/>
                <w:szCs w:val="24"/>
                <w:highlight w:val="none"/>
                <w:lang w:eastAsia="zh-CN"/>
              </w:rPr>
              <w:t>保洁</w:t>
            </w:r>
            <w:r>
              <w:rPr>
                <w:rFonts w:hint="eastAsia" w:hAnsi="宋体" w:eastAsia="宋体" w:cs="宋体"/>
                <w:b/>
                <w:color w:val="auto"/>
                <w:sz w:val="24"/>
                <w:szCs w:val="24"/>
                <w:highlight w:val="none"/>
              </w:rPr>
              <w:t>人员数量</w:t>
            </w:r>
          </w:p>
        </w:tc>
        <w:tc>
          <w:tcPr>
            <w:tcW w:w="4381" w:type="dxa"/>
            <w:noWrap/>
            <w:vAlign w:val="center"/>
          </w:tcPr>
          <w:p>
            <w:pPr>
              <w:spacing w:line="440" w:lineRule="exact"/>
              <w:ind w:right="105" w:firstLine="0" w:firstLineChars="0"/>
              <w:jc w:val="center"/>
              <w:rPr>
                <w:rFonts w:hAnsi="宋体" w:eastAsia="宋体" w:cs="宋体"/>
                <w:b/>
                <w:color w:val="auto"/>
                <w:sz w:val="24"/>
                <w:szCs w:val="24"/>
                <w:highlight w:val="none"/>
              </w:rPr>
            </w:pPr>
            <w:r>
              <w:rPr>
                <w:rFonts w:hint="eastAsia" w:hAnsi="宋体" w:eastAsia="宋体" w:cs="宋体"/>
                <w:b/>
                <w:color w:val="auto"/>
                <w:sz w:val="24"/>
                <w:szCs w:val="24"/>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76" w:hRule="atLeast"/>
        </w:trPr>
        <w:tc>
          <w:tcPr>
            <w:tcW w:w="2984" w:type="dxa"/>
            <w:noWrap/>
            <w:vAlign w:val="center"/>
          </w:tcPr>
          <w:p>
            <w:pPr>
              <w:pStyle w:val="102"/>
              <w:jc w:val="center"/>
              <w:rPr>
                <w:rFonts w:hint="eastAsia" w:asciiTheme="majorEastAsia" w:hAnsiTheme="majorEastAsia" w:eastAsiaTheme="majorEastAsia" w:cstheme="majorEastAsia"/>
                <w:color w:val="auto"/>
                <w:szCs w:val="24"/>
                <w:highlight w:val="none"/>
                <w:lang w:val="zh-CN"/>
              </w:rPr>
            </w:pPr>
            <w:r>
              <w:rPr>
                <w:rFonts w:hint="eastAsia" w:asciiTheme="majorEastAsia" w:hAnsiTheme="majorEastAsia" w:eastAsiaTheme="majorEastAsia" w:cstheme="majorEastAsia"/>
                <w:color w:val="auto"/>
                <w:sz w:val="24"/>
                <w:szCs w:val="24"/>
                <w:highlight w:val="none"/>
                <w:lang w:val="en-US" w:eastAsia="zh-CN"/>
              </w:rPr>
              <w:t>四川东辰逸鑫物业服务有限公司</w:t>
            </w:r>
            <w:r>
              <w:rPr>
                <w:rStyle w:val="113"/>
                <w:rFonts w:hint="eastAsia" w:ascii="宋体" w:hAnsi="宋体" w:eastAsia="宋体" w:cs="宋体"/>
                <w:color w:val="auto"/>
                <w:sz w:val="24"/>
                <w:szCs w:val="24"/>
                <w:highlight w:val="none"/>
              </w:rPr>
              <w:t>-</w:t>
            </w:r>
            <w:r>
              <w:rPr>
                <w:rStyle w:val="113"/>
                <w:rFonts w:hint="eastAsia" w:ascii="宋体" w:hAnsi="宋体" w:eastAsia="宋体" w:cs="宋体"/>
                <w:color w:val="auto"/>
                <w:sz w:val="24"/>
                <w:szCs w:val="24"/>
                <w:highlight w:val="none"/>
                <w:lang w:eastAsia="zh-CN"/>
              </w:rPr>
              <w:t>保洁、</w:t>
            </w:r>
            <w:r>
              <w:rPr>
                <w:rStyle w:val="113"/>
                <w:rFonts w:hint="eastAsia" w:ascii="宋体" w:hAnsi="宋体" w:eastAsia="宋体" w:cs="宋体"/>
                <w:color w:val="auto"/>
                <w:sz w:val="24"/>
                <w:szCs w:val="24"/>
                <w:highlight w:val="none"/>
                <w:lang w:val="en-US" w:eastAsia="zh-CN"/>
              </w:rPr>
              <w:t>绿化</w:t>
            </w:r>
            <w:r>
              <w:rPr>
                <w:rStyle w:val="113"/>
                <w:rFonts w:hint="eastAsia" w:ascii="宋体" w:hAnsi="宋体" w:eastAsia="宋体" w:cs="宋体"/>
                <w:color w:val="auto"/>
                <w:sz w:val="24"/>
                <w:szCs w:val="24"/>
                <w:highlight w:val="none"/>
              </w:rPr>
              <w:t>服务</w:t>
            </w:r>
          </w:p>
        </w:tc>
        <w:tc>
          <w:tcPr>
            <w:tcW w:w="2212" w:type="dxa"/>
            <w:noWrap/>
            <w:vAlign w:val="center"/>
          </w:tcPr>
          <w:p>
            <w:pPr>
              <w:spacing w:line="440" w:lineRule="exact"/>
              <w:ind w:right="105" w:rightChars="0" w:firstLine="0" w:firstLineChars="0"/>
              <w:jc w:val="both"/>
              <w:rPr>
                <w:rFonts w:hint="eastAsia" w:hAnsi="宋体" w:eastAsia="宋体" w:cs="宋体"/>
                <w:bCs/>
                <w:color w:val="auto"/>
                <w:sz w:val="24"/>
                <w:szCs w:val="24"/>
                <w:highlight w:val="none"/>
                <w:lang w:eastAsia="zh-CN"/>
              </w:rPr>
            </w:pPr>
            <w:r>
              <w:rPr>
                <w:rFonts w:hint="eastAsia" w:hAnsi="宋体" w:eastAsia="宋体" w:cs="宋体"/>
                <w:bCs/>
                <w:color w:val="auto"/>
                <w:sz w:val="24"/>
                <w:szCs w:val="24"/>
                <w:highlight w:val="none"/>
                <w:lang w:val="en-US" w:eastAsia="zh-CN"/>
              </w:rPr>
              <w:t>保洁：13人，绿化4人</w:t>
            </w:r>
            <w:r>
              <w:rPr>
                <w:rFonts w:hint="eastAsia" w:hAnsi="宋体" w:eastAsia="宋体" w:cs="宋体"/>
                <w:bCs/>
                <w:color w:val="auto"/>
                <w:sz w:val="24"/>
                <w:szCs w:val="24"/>
                <w:highlight w:val="none"/>
                <w:lang w:eastAsia="zh-CN"/>
              </w:rPr>
              <w:t>（以中标方案为准）</w:t>
            </w:r>
          </w:p>
        </w:tc>
        <w:tc>
          <w:tcPr>
            <w:tcW w:w="4381" w:type="dxa"/>
            <w:noWrap/>
            <w:vAlign w:val="center"/>
          </w:tcPr>
          <w:p>
            <w:pPr>
              <w:spacing w:line="440" w:lineRule="exact"/>
              <w:ind w:right="105" w:rightChars="0" w:firstLine="480" w:firstLineChars="200"/>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lang w:val="en-US" w:eastAsia="zh-CN"/>
              </w:rPr>
              <w:t>派遣人员要求详见“</w:t>
            </w:r>
            <w:r>
              <w:rPr>
                <w:rFonts w:hint="eastAsia" w:ascii="宋体" w:hAnsi="宋体" w:eastAsia="宋体" w:cs="宋体"/>
                <w:color w:val="auto"/>
                <w:sz w:val="24"/>
                <w:szCs w:val="24"/>
                <w:highlight w:val="none"/>
              </w:rPr>
              <w:t>4.2综合得分评分细则</w:t>
            </w:r>
            <w:r>
              <w:rPr>
                <w:rFonts w:hint="eastAsia" w:ascii="仿宋" w:hAnsi="仿宋" w:eastAsia="仿宋" w:cs="仿宋"/>
                <w:bCs/>
                <w:color w:val="auto"/>
                <w:sz w:val="24"/>
                <w:szCs w:val="24"/>
                <w:highlight w:val="none"/>
                <w:lang w:val="en-US" w:eastAsia="zh-CN"/>
              </w:rPr>
              <w:t>”和所签合同约定。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76" w:hRule="atLeast"/>
        </w:trPr>
        <w:tc>
          <w:tcPr>
            <w:tcW w:w="2984" w:type="dxa"/>
            <w:noWrap/>
            <w:vAlign w:val="center"/>
          </w:tcPr>
          <w:p>
            <w:pPr>
              <w:pStyle w:val="102"/>
              <w:jc w:val="center"/>
              <w:rPr>
                <w:rFonts w:hint="eastAsia" w:asciiTheme="majorEastAsia" w:hAnsiTheme="majorEastAsia" w:eastAsiaTheme="majorEastAsia" w:cstheme="majorEastAsia"/>
                <w:color w:val="auto"/>
                <w:szCs w:val="24"/>
                <w:highlight w:val="none"/>
                <w:lang w:val="zh-CN"/>
              </w:rPr>
            </w:pPr>
            <w:r>
              <w:rPr>
                <w:rFonts w:hint="eastAsia" w:asciiTheme="majorEastAsia" w:hAnsiTheme="majorEastAsia" w:eastAsiaTheme="majorEastAsia" w:cstheme="majorEastAsia"/>
                <w:color w:val="auto"/>
                <w:sz w:val="24"/>
                <w:szCs w:val="24"/>
                <w:highlight w:val="none"/>
                <w:lang w:eastAsia="zh-CN"/>
              </w:rPr>
              <w:t>四川东辰物业服务有限公司</w:t>
            </w:r>
            <w:r>
              <w:rPr>
                <w:rStyle w:val="113"/>
                <w:rFonts w:hint="eastAsia" w:ascii="宋体" w:hAnsi="宋体" w:eastAsia="宋体" w:cs="宋体"/>
                <w:color w:val="auto"/>
                <w:sz w:val="24"/>
                <w:szCs w:val="24"/>
                <w:highlight w:val="none"/>
              </w:rPr>
              <w:t>-</w:t>
            </w:r>
            <w:r>
              <w:rPr>
                <w:rStyle w:val="113"/>
                <w:rFonts w:hint="eastAsia" w:ascii="宋体" w:hAnsi="宋体" w:eastAsia="宋体" w:cs="宋体"/>
                <w:color w:val="auto"/>
                <w:sz w:val="24"/>
                <w:szCs w:val="24"/>
                <w:highlight w:val="none"/>
                <w:lang w:eastAsia="zh-CN"/>
              </w:rPr>
              <w:t>保洁、</w:t>
            </w:r>
            <w:r>
              <w:rPr>
                <w:rStyle w:val="113"/>
                <w:rFonts w:hint="eastAsia" w:ascii="宋体" w:hAnsi="宋体" w:eastAsia="宋体" w:cs="宋体"/>
                <w:color w:val="auto"/>
                <w:sz w:val="24"/>
                <w:szCs w:val="24"/>
                <w:highlight w:val="none"/>
                <w:lang w:val="en-US" w:eastAsia="zh-CN"/>
              </w:rPr>
              <w:t>绿化</w:t>
            </w:r>
            <w:r>
              <w:rPr>
                <w:rStyle w:val="113"/>
                <w:rFonts w:hint="eastAsia" w:ascii="宋体" w:hAnsi="宋体" w:eastAsia="宋体" w:cs="宋体"/>
                <w:color w:val="auto"/>
                <w:sz w:val="24"/>
                <w:szCs w:val="24"/>
                <w:highlight w:val="none"/>
              </w:rPr>
              <w:t>服务</w:t>
            </w:r>
          </w:p>
        </w:tc>
        <w:tc>
          <w:tcPr>
            <w:tcW w:w="2212" w:type="dxa"/>
            <w:noWrap/>
            <w:vAlign w:val="center"/>
          </w:tcPr>
          <w:p>
            <w:pPr>
              <w:spacing w:line="440" w:lineRule="exact"/>
              <w:ind w:left="0" w:leftChars="0" w:right="105" w:rightChars="0" w:firstLine="0" w:firstLineChars="0"/>
              <w:jc w:val="both"/>
              <w:rPr>
                <w:rFonts w:hint="eastAsia" w:hAnsi="宋体" w:eastAsia="宋体" w:cs="宋体"/>
                <w:bCs/>
                <w:color w:val="auto"/>
                <w:sz w:val="24"/>
                <w:szCs w:val="24"/>
                <w:highlight w:val="none"/>
                <w:lang w:eastAsia="zh-CN"/>
              </w:rPr>
            </w:pPr>
            <w:r>
              <w:rPr>
                <w:rFonts w:hint="eastAsia" w:hAnsi="宋体" w:eastAsia="宋体" w:cs="宋体"/>
                <w:bCs/>
                <w:color w:val="auto"/>
                <w:sz w:val="24"/>
                <w:szCs w:val="24"/>
                <w:highlight w:val="none"/>
                <w:lang w:val="en-US" w:eastAsia="zh-CN"/>
              </w:rPr>
              <w:t>保洁：5</w:t>
            </w:r>
            <w:r>
              <w:rPr>
                <w:rFonts w:hint="eastAsia" w:ascii="宋体" w:hAnsi="宋体" w:eastAsia="宋体" w:cs="宋体"/>
                <w:bCs/>
                <w:color w:val="auto"/>
                <w:sz w:val="24"/>
                <w:szCs w:val="24"/>
                <w:highlight w:val="none"/>
              </w:rPr>
              <w:t>人</w:t>
            </w:r>
            <w:r>
              <w:rPr>
                <w:rFonts w:hint="eastAsia" w:hAnsi="宋体" w:eastAsia="宋体" w:cs="宋体"/>
                <w:bCs/>
                <w:color w:val="auto"/>
                <w:sz w:val="24"/>
                <w:szCs w:val="24"/>
                <w:highlight w:val="none"/>
                <w:lang w:eastAsia="zh-CN"/>
              </w:rPr>
              <w:t>（以中标方案为准）</w:t>
            </w:r>
          </w:p>
        </w:tc>
        <w:tc>
          <w:tcPr>
            <w:tcW w:w="4381" w:type="dxa"/>
            <w:noWrap/>
            <w:vAlign w:val="center"/>
          </w:tcPr>
          <w:p>
            <w:pPr>
              <w:spacing w:line="440" w:lineRule="exact"/>
              <w:ind w:right="105" w:rightChars="0" w:firstLine="480" w:firstLineChars="200"/>
              <w:rPr>
                <w:rFonts w:ascii="仿宋" w:hAnsi="仿宋" w:eastAsia="仿宋" w:cs="仿宋"/>
                <w:bCs/>
                <w:color w:val="auto"/>
                <w:sz w:val="24"/>
                <w:szCs w:val="24"/>
                <w:highlight w:val="none"/>
              </w:rPr>
            </w:pPr>
            <w:r>
              <w:rPr>
                <w:rFonts w:hint="eastAsia" w:ascii="仿宋" w:hAnsi="仿宋" w:eastAsia="仿宋" w:cs="仿宋"/>
                <w:bCs/>
                <w:color w:val="auto"/>
                <w:sz w:val="24"/>
                <w:szCs w:val="24"/>
                <w:highlight w:val="none"/>
                <w:lang w:val="en-US" w:eastAsia="zh-CN"/>
              </w:rPr>
              <w:t>派遣人员要求详见“</w:t>
            </w:r>
            <w:r>
              <w:rPr>
                <w:rFonts w:hint="eastAsia" w:ascii="宋体" w:hAnsi="宋体" w:eastAsia="宋体" w:cs="宋体"/>
                <w:color w:val="auto"/>
                <w:sz w:val="24"/>
                <w:szCs w:val="24"/>
                <w:highlight w:val="none"/>
              </w:rPr>
              <w:t>4.2综合得分评分细则</w:t>
            </w:r>
            <w:r>
              <w:rPr>
                <w:rFonts w:hint="eastAsia" w:ascii="仿宋" w:hAnsi="仿宋" w:eastAsia="仿宋" w:cs="仿宋"/>
                <w:bCs/>
                <w:color w:val="auto"/>
                <w:sz w:val="24"/>
                <w:szCs w:val="24"/>
                <w:highlight w:val="none"/>
                <w:lang w:val="en-US" w:eastAsia="zh-CN"/>
              </w:rPr>
              <w:t>”和所签合同约。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76" w:hRule="atLeast"/>
        </w:trPr>
        <w:tc>
          <w:tcPr>
            <w:tcW w:w="2984" w:type="dxa"/>
            <w:noWrap/>
            <w:vAlign w:val="center"/>
          </w:tcPr>
          <w:p>
            <w:pPr>
              <w:pStyle w:val="102"/>
              <w:tabs>
                <w:tab w:val="left" w:pos="279"/>
              </w:tabs>
              <w:jc w:val="left"/>
              <w:rPr>
                <w:rFonts w:hint="default" w:asciiTheme="majorEastAsia" w:hAnsiTheme="majorEastAsia" w:eastAsiaTheme="majorEastAsia" w:cstheme="majorEastAsia"/>
                <w:color w:val="auto"/>
                <w:sz w:val="24"/>
                <w:szCs w:val="24"/>
                <w:highlight w:val="none"/>
                <w:lang w:val="en-US" w:eastAsia="zh-CN"/>
              </w:rPr>
            </w:pPr>
            <w:r>
              <w:rPr>
                <w:rFonts w:hint="eastAsia" w:asciiTheme="majorEastAsia" w:hAnsiTheme="majorEastAsia" w:eastAsiaTheme="majorEastAsia" w:cstheme="majorEastAsia"/>
                <w:color w:val="auto"/>
                <w:sz w:val="24"/>
                <w:szCs w:val="24"/>
                <w:highlight w:val="none"/>
                <w:lang w:eastAsia="zh-CN"/>
              </w:rPr>
              <w:tab/>
            </w:r>
            <w:r>
              <w:rPr>
                <w:rFonts w:hint="eastAsia" w:asciiTheme="majorEastAsia" w:hAnsiTheme="majorEastAsia" w:eastAsiaTheme="majorEastAsia" w:cstheme="majorEastAsia"/>
                <w:color w:val="auto"/>
                <w:sz w:val="24"/>
                <w:szCs w:val="24"/>
                <w:highlight w:val="none"/>
                <w:lang w:val="en-US" w:eastAsia="zh-CN"/>
              </w:rPr>
              <w:t>四川辰悦联家物业服务有限公司-保洁、绿化服务</w:t>
            </w:r>
          </w:p>
        </w:tc>
        <w:tc>
          <w:tcPr>
            <w:tcW w:w="2212" w:type="dxa"/>
            <w:noWrap/>
            <w:vAlign w:val="center"/>
          </w:tcPr>
          <w:p>
            <w:pPr>
              <w:spacing w:line="440" w:lineRule="exact"/>
              <w:ind w:left="0" w:leftChars="0" w:right="105" w:rightChars="0" w:firstLine="0" w:firstLineChars="0"/>
              <w:jc w:val="both"/>
              <w:rPr>
                <w:rFonts w:hint="default" w:hAnsi="宋体" w:eastAsia="宋体" w:cs="宋体"/>
                <w:bCs/>
                <w:color w:val="auto"/>
                <w:sz w:val="24"/>
                <w:szCs w:val="24"/>
                <w:highlight w:val="none"/>
                <w:lang w:val="en-US" w:eastAsia="zh-CN"/>
              </w:rPr>
            </w:pPr>
            <w:r>
              <w:rPr>
                <w:rFonts w:hint="eastAsia" w:hAnsi="宋体" w:eastAsia="宋体" w:cs="宋体"/>
                <w:bCs/>
                <w:color w:val="auto"/>
                <w:sz w:val="24"/>
                <w:szCs w:val="24"/>
                <w:highlight w:val="none"/>
                <w:lang w:val="en-US" w:eastAsia="zh-CN"/>
              </w:rPr>
              <w:t>保洁：10人，绿化1人（以中标方案为准）</w:t>
            </w:r>
          </w:p>
        </w:tc>
        <w:tc>
          <w:tcPr>
            <w:tcW w:w="4381" w:type="dxa"/>
            <w:noWrap/>
            <w:vAlign w:val="center"/>
          </w:tcPr>
          <w:p>
            <w:pPr>
              <w:spacing w:line="440" w:lineRule="exact"/>
              <w:ind w:right="105" w:rightChars="0" w:firstLine="480" w:firstLineChars="200"/>
              <w:rPr>
                <w:rFonts w:hint="eastAsia" w:ascii="仿宋" w:hAnsi="仿宋" w:eastAsia="仿宋" w:cs="仿宋"/>
                <w:bCs/>
                <w:color w:val="auto"/>
                <w:sz w:val="24"/>
                <w:szCs w:val="24"/>
                <w:highlight w:val="none"/>
                <w:lang w:val="en-US" w:eastAsia="zh-CN"/>
              </w:rPr>
            </w:pPr>
            <w:r>
              <w:rPr>
                <w:rFonts w:hint="eastAsia" w:ascii="仿宋" w:hAnsi="仿宋" w:eastAsia="仿宋" w:cs="仿宋"/>
                <w:bCs/>
                <w:color w:val="auto"/>
                <w:sz w:val="24"/>
                <w:szCs w:val="24"/>
                <w:highlight w:val="none"/>
                <w:lang w:val="en-US" w:eastAsia="zh-CN"/>
              </w:rPr>
              <w:t>派遣人员要求详见“</w:t>
            </w:r>
            <w:r>
              <w:rPr>
                <w:rFonts w:hint="eastAsia" w:ascii="宋体" w:hAnsi="宋体" w:eastAsia="宋体" w:cs="宋体"/>
                <w:color w:val="auto"/>
                <w:sz w:val="24"/>
                <w:szCs w:val="24"/>
                <w:highlight w:val="none"/>
              </w:rPr>
              <w:t>4.2综合得分评分细则</w:t>
            </w:r>
            <w:r>
              <w:rPr>
                <w:rFonts w:hint="eastAsia" w:ascii="仿宋" w:hAnsi="仿宋" w:eastAsia="仿宋" w:cs="仿宋"/>
                <w:bCs/>
                <w:color w:val="auto"/>
                <w:sz w:val="24"/>
                <w:szCs w:val="24"/>
                <w:highlight w:val="none"/>
                <w:lang w:val="en-US" w:eastAsia="zh-CN"/>
              </w:rPr>
              <w:t>”和所签合同约。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76" w:hRule="atLeast"/>
        </w:trPr>
        <w:tc>
          <w:tcPr>
            <w:tcW w:w="2984" w:type="dxa"/>
            <w:noWrap/>
            <w:vAlign w:val="center"/>
          </w:tcPr>
          <w:p>
            <w:pPr>
              <w:pStyle w:val="102"/>
              <w:tabs>
                <w:tab w:val="left" w:pos="279"/>
              </w:tabs>
              <w:jc w:val="left"/>
              <w:rPr>
                <w:rFonts w:hint="default" w:asciiTheme="majorEastAsia" w:hAnsiTheme="majorEastAsia" w:eastAsiaTheme="majorEastAsia" w:cstheme="majorEastAsia"/>
                <w:color w:val="auto"/>
                <w:sz w:val="24"/>
                <w:szCs w:val="24"/>
                <w:highlight w:val="none"/>
                <w:lang w:val="en-US" w:eastAsia="zh-CN"/>
              </w:rPr>
            </w:pPr>
            <w:r>
              <w:rPr>
                <w:rFonts w:hint="eastAsia" w:asciiTheme="majorEastAsia" w:hAnsiTheme="majorEastAsia" w:eastAsiaTheme="majorEastAsia" w:cstheme="majorEastAsia"/>
                <w:color w:val="auto"/>
                <w:sz w:val="24"/>
                <w:szCs w:val="24"/>
                <w:highlight w:val="none"/>
                <w:lang w:val="en-US" w:eastAsia="zh-CN"/>
              </w:rPr>
              <w:t>四川东辰仙海物业服务有限公司-保洁、绿化服务</w:t>
            </w:r>
          </w:p>
        </w:tc>
        <w:tc>
          <w:tcPr>
            <w:tcW w:w="2212" w:type="dxa"/>
            <w:noWrap/>
            <w:vAlign w:val="center"/>
          </w:tcPr>
          <w:p>
            <w:pPr>
              <w:spacing w:line="440" w:lineRule="exact"/>
              <w:ind w:left="0" w:leftChars="0" w:right="105" w:rightChars="0" w:firstLine="0" w:firstLineChars="0"/>
              <w:jc w:val="both"/>
              <w:rPr>
                <w:rFonts w:hint="default" w:hAnsi="宋体" w:eastAsia="宋体" w:cs="宋体"/>
                <w:bCs/>
                <w:color w:val="auto"/>
                <w:sz w:val="24"/>
                <w:szCs w:val="24"/>
                <w:highlight w:val="none"/>
                <w:lang w:val="en-US" w:eastAsia="zh-CN"/>
              </w:rPr>
            </w:pPr>
            <w:r>
              <w:rPr>
                <w:rFonts w:hint="eastAsia" w:hAnsi="宋体" w:eastAsia="宋体" w:cs="宋体"/>
                <w:bCs/>
                <w:color w:val="auto"/>
                <w:sz w:val="24"/>
                <w:szCs w:val="24"/>
                <w:highlight w:val="none"/>
                <w:lang w:val="en-US" w:eastAsia="zh-CN"/>
              </w:rPr>
              <w:t>保洁：11人，绿化4人（以中标方案为准）</w:t>
            </w:r>
          </w:p>
        </w:tc>
        <w:tc>
          <w:tcPr>
            <w:tcW w:w="4381" w:type="dxa"/>
            <w:noWrap/>
            <w:vAlign w:val="center"/>
          </w:tcPr>
          <w:p>
            <w:pPr>
              <w:spacing w:line="440" w:lineRule="exact"/>
              <w:ind w:right="105" w:rightChars="0" w:firstLine="480" w:firstLineChars="200"/>
              <w:rPr>
                <w:rFonts w:hint="eastAsia" w:ascii="仿宋" w:hAnsi="仿宋" w:eastAsia="仿宋" w:cs="仿宋"/>
                <w:bCs/>
                <w:color w:val="auto"/>
                <w:sz w:val="24"/>
                <w:szCs w:val="24"/>
                <w:highlight w:val="none"/>
                <w:lang w:val="en-US" w:eastAsia="zh-CN"/>
              </w:rPr>
            </w:pPr>
            <w:r>
              <w:rPr>
                <w:rFonts w:hint="eastAsia" w:ascii="仿宋" w:hAnsi="仿宋" w:eastAsia="仿宋" w:cs="仿宋"/>
                <w:bCs/>
                <w:color w:val="auto"/>
                <w:sz w:val="24"/>
                <w:szCs w:val="24"/>
                <w:highlight w:val="none"/>
                <w:lang w:val="en-US" w:eastAsia="zh-CN"/>
              </w:rPr>
              <w:t>派遣人员要求详见“</w:t>
            </w:r>
            <w:r>
              <w:rPr>
                <w:rFonts w:hint="eastAsia" w:ascii="宋体" w:hAnsi="宋体" w:eastAsia="宋体" w:cs="宋体"/>
                <w:color w:val="auto"/>
                <w:sz w:val="24"/>
                <w:szCs w:val="24"/>
                <w:highlight w:val="none"/>
              </w:rPr>
              <w:t>4.2综合得分评分细则</w:t>
            </w:r>
            <w:r>
              <w:rPr>
                <w:rFonts w:hint="eastAsia" w:ascii="仿宋" w:hAnsi="仿宋" w:eastAsia="仿宋" w:cs="仿宋"/>
                <w:bCs/>
                <w:color w:val="auto"/>
                <w:sz w:val="24"/>
                <w:szCs w:val="24"/>
                <w:highlight w:val="none"/>
                <w:lang w:val="en-US" w:eastAsia="zh-CN"/>
              </w:rPr>
              <w:t>”和所签合同约。</w:t>
            </w:r>
          </w:p>
        </w:tc>
      </w:tr>
    </w:tbl>
    <w:p>
      <w:pPr>
        <w:tabs>
          <w:tab w:val="left" w:pos="7740"/>
        </w:tabs>
        <w:spacing w:beforeLines="50" w:afterLines="50"/>
        <w:ind w:right="105" w:firstLine="482"/>
        <w:rPr>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bCs/>
          <w:color w:val="auto"/>
          <w:sz w:val="24"/>
          <w:szCs w:val="24"/>
          <w:highlight w:val="none"/>
        </w:rPr>
        <w:t>（二）公司项目概况、服务内容及标准：</w:t>
      </w:r>
    </w:p>
    <w:p>
      <w:pPr>
        <w:pStyle w:val="44"/>
        <w:snapToGrid w:val="0"/>
        <w:spacing w:line="240" w:lineRule="auto"/>
        <w:ind w:firstLine="562" w:firstLineChars="200"/>
        <w:rPr>
          <w:rFonts w:hAnsi="宋体" w:eastAsia="宋体" w:cs="宋体"/>
          <w:b/>
          <w:color w:val="auto"/>
          <w:sz w:val="28"/>
          <w:szCs w:val="28"/>
          <w:highlight w:val="none"/>
        </w:rPr>
      </w:pPr>
      <w:r>
        <w:rPr>
          <w:rFonts w:hint="eastAsia" w:hAnsi="宋体" w:eastAsia="宋体" w:cs="宋体"/>
          <w:b/>
          <w:color w:val="auto"/>
          <w:sz w:val="28"/>
          <w:szCs w:val="28"/>
          <w:highlight w:val="none"/>
          <w:lang w:val="en-US" w:eastAsia="zh-CN"/>
        </w:rPr>
        <w:t>1、</w:t>
      </w:r>
      <w:r>
        <w:rPr>
          <w:rFonts w:hint="eastAsia" w:hAnsi="宋体" w:eastAsia="宋体" w:cs="宋体"/>
          <w:b/>
          <w:color w:val="auto"/>
          <w:sz w:val="28"/>
          <w:szCs w:val="28"/>
          <w:highlight w:val="none"/>
        </w:rPr>
        <w:t>项目品名：</w:t>
      </w:r>
      <w:r>
        <w:rPr>
          <w:rFonts w:hint="eastAsia" w:hAnsi="宋体" w:eastAsia="宋体" w:cs="宋体"/>
          <w:b/>
          <w:color w:val="auto"/>
          <w:sz w:val="28"/>
          <w:szCs w:val="28"/>
          <w:highlight w:val="none"/>
          <w:lang w:val="en-US" w:eastAsia="zh-CN"/>
        </w:rPr>
        <w:t>四川东辰逸鑫物业服务有限公司、四川东辰物业服务有限公司、四川辰悦联家物业服务有限公司</w:t>
      </w:r>
      <w:r>
        <w:rPr>
          <w:rFonts w:hint="eastAsia" w:hAnsi="宋体" w:eastAsia="宋体" w:cs="宋体"/>
          <w:b/>
          <w:color w:val="auto"/>
          <w:sz w:val="28"/>
          <w:szCs w:val="28"/>
          <w:highlight w:val="none"/>
        </w:rPr>
        <w:t>-</w:t>
      </w:r>
      <w:r>
        <w:rPr>
          <w:rFonts w:hint="eastAsia" w:hAnsi="宋体" w:eastAsia="宋体" w:cs="宋体"/>
          <w:b/>
          <w:color w:val="auto"/>
          <w:sz w:val="28"/>
          <w:szCs w:val="28"/>
          <w:highlight w:val="none"/>
          <w:lang w:eastAsia="zh-CN"/>
        </w:rPr>
        <w:t>保洁、</w:t>
      </w:r>
      <w:r>
        <w:rPr>
          <w:rFonts w:hint="eastAsia" w:hAnsi="宋体" w:eastAsia="宋体" w:cs="宋体"/>
          <w:b/>
          <w:color w:val="auto"/>
          <w:sz w:val="28"/>
          <w:szCs w:val="28"/>
          <w:highlight w:val="none"/>
          <w:lang w:val="en-US" w:eastAsia="zh-CN"/>
        </w:rPr>
        <w:t>绿化</w:t>
      </w:r>
      <w:r>
        <w:rPr>
          <w:rFonts w:hint="eastAsia" w:hAnsi="宋体" w:eastAsia="宋体" w:cs="宋体"/>
          <w:b/>
          <w:color w:val="auto"/>
          <w:sz w:val="28"/>
          <w:szCs w:val="28"/>
          <w:highlight w:val="none"/>
        </w:rPr>
        <w:t>服务</w:t>
      </w:r>
    </w:p>
    <w:p>
      <w:pPr>
        <w:tabs>
          <w:tab w:val="left" w:pos="7740"/>
        </w:tabs>
        <w:spacing w:line="240" w:lineRule="auto"/>
        <w:ind w:right="0" w:firstLine="480" w:firstLineChars="200"/>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zh-CN"/>
        </w:rPr>
        <w:t>物业地址：</w:t>
      </w:r>
      <w:r>
        <w:rPr>
          <w:rFonts w:hint="eastAsia" w:asciiTheme="minorEastAsia" w:hAnsiTheme="minorEastAsia" w:eastAsiaTheme="minorEastAsia" w:cstheme="minorEastAsia"/>
          <w:color w:val="auto"/>
          <w:sz w:val="24"/>
          <w:szCs w:val="24"/>
          <w:highlight w:val="none"/>
          <w:lang w:val="en-US" w:eastAsia="zh-CN"/>
        </w:rPr>
        <w:t>阳光清华A、B区、阳光清华商业街、梓潼书苑名家</w:t>
      </w:r>
    </w:p>
    <w:p>
      <w:pPr>
        <w:tabs>
          <w:tab w:val="left" w:pos="7740"/>
        </w:tabs>
        <w:spacing w:line="240" w:lineRule="auto"/>
        <w:ind w:right="0" w:firstLine="480" w:firstLineChars="200"/>
        <w:rPr>
          <w:rFonts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zh-CN"/>
        </w:rPr>
        <w:t>服务面积：</w:t>
      </w:r>
      <w:r>
        <w:rPr>
          <w:rFonts w:hint="eastAsia" w:asciiTheme="minorEastAsia" w:hAnsiTheme="minorEastAsia" w:eastAsiaTheme="minorEastAsia" w:cstheme="minorEastAsia"/>
          <w:color w:val="auto"/>
          <w:sz w:val="24"/>
          <w:szCs w:val="24"/>
          <w:highlight w:val="none"/>
          <w:lang w:val="en-US" w:eastAsia="zh-CN"/>
        </w:rPr>
        <w:t>35</w:t>
      </w:r>
      <w:r>
        <w:rPr>
          <w:rFonts w:hint="eastAsia" w:asciiTheme="minorEastAsia" w:hAnsiTheme="minorEastAsia" w:eastAsiaTheme="minorEastAsia" w:cstheme="minorEastAsia"/>
          <w:color w:val="auto"/>
          <w:sz w:val="24"/>
          <w:szCs w:val="24"/>
          <w:highlight w:val="none"/>
        </w:rPr>
        <w:t>万</w:t>
      </w:r>
      <w:r>
        <w:rPr>
          <w:rFonts w:hint="eastAsia" w:asciiTheme="minorEastAsia" w:hAnsiTheme="minorEastAsia" w:eastAsiaTheme="minorEastAsia" w:cstheme="minorEastAsia"/>
          <w:color w:val="auto"/>
          <w:sz w:val="24"/>
          <w:szCs w:val="24"/>
          <w:highlight w:val="none"/>
          <w:lang w:val="zh-CN"/>
        </w:rPr>
        <w:t>平方米左右</w:t>
      </w:r>
    </w:p>
    <w:p>
      <w:pPr>
        <w:pStyle w:val="8"/>
        <w:spacing w:line="240" w:lineRule="auto"/>
        <w:ind w:left="0" w:leftChars="0" w:right="0" w:firstLine="480" w:firstLineChars="20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val="en-US" w:eastAsia="zh-CN"/>
        </w:rPr>
        <w:t>保洁</w:t>
      </w:r>
      <w:r>
        <w:rPr>
          <w:rFonts w:hint="eastAsia" w:ascii="宋体" w:hAnsi="宋体" w:eastAsia="宋体" w:cs="宋体"/>
          <w:color w:val="auto"/>
          <w:sz w:val="24"/>
          <w:szCs w:val="24"/>
          <w:highlight w:val="none"/>
          <w:lang w:val="zh-CN"/>
        </w:rPr>
        <w:t>服务内容及标准：</w:t>
      </w: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0" w:firstLineChars="0"/>
        <w:jc w:val="both"/>
        <w:rPr>
          <w:rFonts w:hint="eastAsia" w:eastAsiaTheme="minorEastAsia"/>
          <w:b/>
          <w:bCs/>
          <w:color w:val="auto"/>
          <w:highlight w:val="none"/>
          <w:lang w:val="en-US" w:eastAsia="zh-CN"/>
        </w:rPr>
      </w:pPr>
      <w:r>
        <w:rPr>
          <w:rFonts w:hint="eastAsia"/>
          <w:b/>
          <w:bCs/>
          <w:color w:val="auto"/>
          <w:highlight w:val="none"/>
          <w:lang w:val="en-US" w:eastAsia="zh-CN"/>
        </w:rPr>
        <w:t>1</w:t>
      </w:r>
      <w:r>
        <w:rPr>
          <w:rFonts w:hint="eastAsia"/>
          <w:b/>
          <w:bCs/>
          <w:color w:val="auto"/>
          <w:sz w:val="22"/>
          <w:szCs w:val="22"/>
          <w:highlight w:val="none"/>
          <w:lang w:val="en-US" w:eastAsia="zh-CN"/>
        </w:rPr>
        <w:t>、外围</w:t>
      </w:r>
    </w:p>
    <w:tbl>
      <w:tblPr>
        <w:tblStyle w:val="31"/>
        <w:tblpPr w:leftFromText="180" w:rightFromText="180" w:vertAnchor="text" w:horzAnchor="page" w:tblpX="1229" w:tblpY="108"/>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721"/>
        <w:gridCol w:w="4157"/>
        <w:gridCol w:w="42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525" w:hRule="atLeast"/>
        </w:trPr>
        <w:tc>
          <w:tcPr>
            <w:tcW w:w="1721"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Style w:val="34"/>
                <w:rFonts w:hint="eastAsia" w:ascii="宋体" w:hAnsi="宋体" w:eastAsia="宋体" w:cs="宋体"/>
                <w:color w:val="auto"/>
                <w:sz w:val="22"/>
                <w:szCs w:val="22"/>
                <w:highlight w:val="none"/>
              </w:rPr>
              <w:t>位置</w:t>
            </w:r>
          </w:p>
        </w:tc>
        <w:tc>
          <w:tcPr>
            <w:tcW w:w="4157"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Style w:val="34"/>
                <w:rFonts w:hint="eastAsia" w:ascii="宋体" w:hAnsi="宋体" w:eastAsia="宋体" w:cs="宋体"/>
                <w:color w:val="auto"/>
                <w:sz w:val="22"/>
                <w:szCs w:val="22"/>
                <w:highlight w:val="none"/>
              </w:rPr>
              <w:t>质量标准</w:t>
            </w:r>
          </w:p>
        </w:tc>
        <w:tc>
          <w:tcPr>
            <w:tcW w:w="4277"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Style w:val="34"/>
                <w:rFonts w:hint="eastAsia" w:ascii="宋体" w:hAnsi="宋体" w:eastAsia="宋体" w:cs="宋体"/>
                <w:color w:val="auto"/>
                <w:sz w:val="22"/>
                <w:szCs w:val="22"/>
                <w:highlight w:val="none"/>
              </w:rPr>
              <w:t>工作频次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560"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rPr>
              <w:t>道路</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auto"/>
                <w:highlight w:val="none"/>
              </w:rPr>
            </w:pPr>
            <w:r>
              <w:rPr>
                <w:rFonts w:hint="eastAsia" w:ascii="宋体" w:hAnsi="宋体" w:eastAsia="宋体" w:cs="宋体"/>
                <w:color w:val="auto"/>
                <w:sz w:val="22"/>
                <w:szCs w:val="22"/>
                <w:highlight w:val="none"/>
              </w:rPr>
              <w:t>无垃圾、无泥沙、无积水</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90" w:right="0"/>
              <w:rPr>
                <w:rFonts w:hint="eastAsia" w:eastAsia="宋体"/>
                <w:color w:val="auto"/>
                <w:highlight w:val="none"/>
                <w:lang w:eastAsia="zh-CN"/>
              </w:rPr>
            </w:pPr>
            <w:r>
              <w:rPr>
                <w:rFonts w:hint="eastAsia" w:ascii="宋体" w:hAnsi="宋体" w:eastAsia="宋体" w:cs="宋体"/>
                <w:color w:val="auto"/>
                <w:sz w:val="22"/>
                <w:szCs w:val="22"/>
                <w:highlight w:val="none"/>
              </w:rPr>
              <w:t>1、每日集中清扫二次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75" w:right="0"/>
              <w:rPr>
                <w:rFonts w:hint="eastAsia" w:eastAsia="宋体"/>
                <w:color w:val="auto"/>
                <w:highlight w:val="none"/>
                <w:lang w:eastAsia="zh-CN"/>
              </w:rPr>
            </w:pPr>
            <w:r>
              <w:rPr>
                <w:rFonts w:hint="eastAsia" w:ascii="宋体" w:hAnsi="宋体" w:eastAsia="宋体" w:cs="宋体"/>
                <w:color w:val="auto"/>
                <w:sz w:val="22"/>
                <w:szCs w:val="22"/>
                <w:highlight w:val="none"/>
              </w:rPr>
              <w:t>2、每</w:t>
            </w:r>
            <w:r>
              <w:rPr>
                <w:rFonts w:hint="eastAsia" w:ascii="宋体" w:hAnsi="宋体" w:eastAsia="宋体" w:cs="宋体"/>
                <w:color w:val="auto"/>
                <w:sz w:val="22"/>
                <w:szCs w:val="22"/>
                <w:highlight w:val="none"/>
                <w:lang w:eastAsia="zh-CN"/>
              </w:rPr>
              <w:t>季度</w:t>
            </w:r>
            <w:r>
              <w:rPr>
                <w:rFonts w:hint="eastAsia" w:ascii="宋体" w:hAnsi="宋体" w:eastAsia="宋体" w:cs="宋体"/>
                <w:color w:val="auto"/>
                <w:sz w:val="22"/>
                <w:szCs w:val="22"/>
                <w:highlight w:val="none"/>
              </w:rPr>
              <w:t>冲洗一次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lang w:eastAsia="zh-CN"/>
              </w:rPr>
              <w:t>围栏、</w:t>
            </w:r>
            <w:r>
              <w:rPr>
                <w:rFonts w:hint="eastAsia" w:ascii="宋体" w:hAnsi="宋体" w:eastAsia="宋体" w:cs="宋体"/>
                <w:color w:val="auto"/>
                <w:sz w:val="22"/>
                <w:szCs w:val="22"/>
                <w:highlight w:val="none"/>
              </w:rPr>
              <w:t>灯箱、广告牌</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无污迹、无积尘、无蜘蛛网</w:t>
            </w:r>
            <w:r>
              <w:rPr>
                <w:rFonts w:hint="eastAsia" w:ascii="宋体" w:hAnsi="宋体" w:eastAsia="宋体" w:cs="宋体"/>
                <w:color w:val="auto"/>
                <w:sz w:val="22"/>
                <w:szCs w:val="22"/>
                <w:highlight w:val="none"/>
                <w:lang w:eastAsia="zh-CN"/>
              </w:rPr>
              <w:t>、无乱贴乱画</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lang w:eastAsia="zh-CN"/>
              </w:rPr>
              <w:t>每季度</w:t>
            </w:r>
            <w:r>
              <w:rPr>
                <w:rFonts w:hint="eastAsia" w:ascii="宋体" w:hAnsi="宋体" w:eastAsia="宋体" w:cs="宋体"/>
                <w:color w:val="auto"/>
                <w:sz w:val="22"/>
                <w:szCs w:val="22"/>
                <w:highlight w:val="none"/>
              </w:rPr>
              <w:t>擦拭一次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lang w:eastAsia="zh-CN"/>
              </w:rPr>
              <w:t>休闲</w:t>
            </w:r>
            <w:r>
              <w:rPr>
                <w:rFonts w:hint="eastAsia" w:ascii="宋体" w:hAnsi="宋体" w:eastAsia="宋体" w:cs="宋体"/>
                <w:color w:val="auto"/>
                <w:sz w:val="22"/>
                <w:szCs w:val="22"/>
                <w:highlight w:val="none"/>
              </w:rPr>
              <w:t>坐椅</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无积尘</w:t>
            </w:r>
            <w:r>
              <w:rPr>
                <w:rFonts w:hint="eastAsia" w:ascii="宋体" w:hAnsi="宋体" w:eastAsia="宋体" w:cs="宋体"/>
                <w:color w:val="auto"/>
                <w:sz w:val="22"/>
                <w:szCs w:val="22"/>
                <w:highlight w:val="none"/>
                <w:lang w:eastAsia="zh-CN"/>
              </w:rPr>
              <w:t>、无积水</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150" w:right="0"/>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二</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擦拭；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rPr>
              <w:t>垃圾桶</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rPr>
              <w:t>无污痕、垃圾量</w:t>
            </w:r>
            <w:r>
              <w:rPr>
                <w:rFonts w:hint="eastAsia" w:ascii="宋体" w:hAnsi="宋体" w:eastAsia="宋体" w:cs="宋体"/>
                <w:color w:val="auto"/>
                <w:sz w:val="22"/>
                <w:szCs w:val="22"/>
                <w:highlight w:val="none"/>
                <w:lang w:eastAsia="zh-CN"/>
              </w:rPr>
              <w:t>不得溢桶</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color w:val="auto"/>
                <w:highlight w:val="none"/>
              </w:rPr>
            </w:pPr>
            <w:r>
              <w:rPr>
                <w:color w:val="auto"/>
                <w:sz w:val="22"/>
                <w:szCs w:val="22"/>
                <w:highlight w:val="none"/>
              </w:rPr>
              <w:t>1、 每日</w:t>
            </w:r>
            <w:r>
              <w:rPr>
                <w:rFonts w:hint="eastAsia"/>
                <w:color w:val="auto"/>
                <w:sz w:val="22"/>
                <w:szCs w:val="22"/>
                <w:highlight w:val="none"/>
                <w:lang w:eastAsia="zh-CN"/>
              </w:rPr>
              <w:t>一</w:t>
            </w:r>
            <w:r>
              <w:rPr>
                <w:color w:val="auto"/>
                <w:sz w:val="22"/>
                <w:szCs w:val="22"/>
                <w:highlight w:val="none"/>
              </w:rPr>
              <w:t>次</w:t>
            </w:r>
            <w:r>
              <w:rPr>
                <w:rFonts w:hint="eastAsia"/>
                <w:color w:val="auto"/>
                <w:sz w:val="22"/>
                <w:szCs w:val="22"/>
                <w:highlight w:val="none"/>
                <w:lang w:eastAsia="zh-CN"/>
              </w:rPr>
              <w:t>清运（视情况增加次数）；</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eastAsia" w:eastAsiaTheme="minorEastAsia"/>
                <w:color w:val="auto"/>
                <w:highlight w:val="none"/>
                <w:lang w:eastAsia="zh-CN"/>
              </w:rPr>
            </w:pPr>
            <w:r>
              <w:rPr>
                <w:color w:val="auto"/>
                <w:sz w:val="22"/>
                <w:szCs w:val="22"/>
                <w:highlight w:val="none"/>
              </w:rPr>
              <w:t>2、 </w:t>
            </w:r>
            <w:r>
              <w:rPr>
                <w:rFonts w:hint="eastAsia"/>
                <w:color w:val="auto"/>
                <w:sz w:val="22"/>
                <w:szCs w:val="22"/>
                <w:highlight w:val="none"/>
                <w:lang w:eastAsia="zh-CN"/>
              </w:rPr>
              <w:t>每月</w:t>
            </w:r>
            <w:r>
              <w:rPr>
                <w:color w:val="auto"/>
                <w:sz w:val="22"/>
                <w:szCs w:val="22"/>
                <w:highlight w:val="none"/>
              </w:rPr>
              <w:t>冲洗消毒（含内胆）一次</w:t>
            </w:r>
            <w:r>
              <w:rPr>
                <w:rFonts w:hint="eastAsia"/>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PVC管(底楼2m以下)</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660" w:firstLineChars="300"/>
              <w:jc w:val="both"/>
              <w:rPr>
                <w:color w:val="auto"/>
                <w:highlight w:val="none"/>
              </w:rPr>
            </w:pPr>
            <w:r>
              <w:rPr>
                <w:rFonts w:hint="eastAsia" w:ascii="宋体" w:hAnsi="宋体" w:eastAsia="宋体" w:cs="宋体"/>
                <w:color w:val="auto"/>
                <w:sz w:val="22"/>
                <w:szCs w:val="22"/>
                <w:highlight w:val="none"/>
              </w:rPr>
              <w:t>无污痕、无积尘</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eastAsia="宋体"/>
                <w:color w:val="auto"/>
                <w:highlight w:val="none"/>
                <w:lang w:eastAsia="zh-CN"/>
              </w:rPr>
            </w:pPr>
            <w:r>
              <w:rPr>
                <w:rFonts w:hint="eastAsia" w:ascii="宋体" w:hAnsi="宋体" w:eastAsia="宋体" w:cs="宋体"/>
                <w:color w:val="auto"/>
                <w:sz w:val="22"/>
                <w:szCs w:val="22"/>
                <w:highlight w:val="none"/>
                <w:lang w:eastAsia="zh-CN"/>
              </w:rPr>
              <w:t>每季度清理一次；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65"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2米以下外墙面</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无污迹、无积尘、无蛛网、无无关粘贴物</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eastAsia="宋体"/>
                <w:color w:val="auto"/>
                <w:highlight w:val="none"/>
                <w:lang w:eastAsia="zh-CN"/>
              </w:rPr>
            </w:pPr>
            <w:r>
              <w:rPr>
                <w:rFonts w:hint="eastAsia" w:ascii="宋体" w:hAnsi="宋体" w:eastAsia="宋体" w:cs="宋体"/>
                <w:color w:val="auto"/>
                <w:sz w:val="22"/>
                <w:szCs w:val="22"/>
                <w:highlight w:val="none"/>
                <w:lang w:eastAsia="zh-CN"/>
              </w:rPr>
              <w:t>每季度清理一次；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40"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花盆、花槽、花台</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无污迹、盆内无异物、杂草、槽壁无青苔</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color w:val="auto"/>
                <w:highlight w:val="none"/>
              </w:rPr>
            </w:pPr>
            <w:r>
              <w:rPr>
                <w:rFonts w:hint="eastAsia" w:ascii="宋体" w:hAnsi="宋体" w:eastAsia="宋体" w:cs="宋体"/>
                <w:color w:val="auto"/>
                <w:sz w:val="22"/>
                <w:szCs w:val="22"/>
                <w:highlight w:val="none"/>
              </w:rPr>
              <w:t>1、每</w:t>
            </w:r>
            <w:r>
              <w:rPr>
                <w:rFonts w:hint="eastAsia" w:ascii="宋体" w:hAnsi="宋体" w:eastAsia="宋体" w:cs="宋体"/>
                <w:color w:val="auto"/>
                <w:sz w:val="22"/>
                <w:szCs w:val="22"/>
                <w:highlight w:val="none"/>
                <w:lang w:eastAsia="zh-CN"/>
              </w:rPr>
              <w:t>周打扫两次；</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eastAsia="宋体"/>
                <w:color w:val="auto"/>
                <w:highlight w:val="none"/>
                <w:lang w:eastAsia="zh-CN"/>
              </w:rPr>
            </w:pPr>
            <w:r>
              <w:rPr>
                <w:rFonts w:hint="eastAsia" w:ascii="宋体" w:hAnsi="宋体" w:eastAsia="宋体" w:cs="宋体"/>
                <w:color w:val="auto"/>
                <w:sz w:val="22"/>
                <w:szCs w:val="22"/>
                <w:highlight w:val="none"/>
              </w:rPr>
              <w:t>2、青苔处理</w:t>
            </w:r>
            <w:r>
              <w:rPr>
                <w:rFonts w:hint="eastAsia" w:ascii="宋体" w:hAnsi="宋体" w:eastAsia="宋体" w:cs="宋体"/>
                <w:color w:val="auto"/>
                <w:sz w:val="22"/>
                <w:szCs w:val="22"/>
                <w:highlight w:val="none"/>
                <w:lang w:eastAsia="zh-CN"/>
              </w:rPr>
              <w:t>每月一次；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55"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喷水池</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台面整洁、池中无异物、无异味、池底无淤泥、设施洁净</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eastAsia="宋体"/>
                <w:color w:val="auto"/>
                <w:highlight w:val="none"/>
                <w:lang w:eastAsia="zh-CN"/>
              </w:rPr>
            </w:pPr>
            <w:r>
              <w:rPr>
                <w:rFonts w:hint="eastAsia" w:ascii="宋体" w:hAnsi="宋体" w:eastAsia="宋体" w:cs="宋体"/>
                <w:color w:val="auto"/>
                <w:sz w:val="22"/>
                <w:szCs w:val="22"/>
                <w:highlight w:val="none"/>
              </w:rPr>
              <w:t>1、每日</w:t>
            </w:r>
            <w:r>
              <w:rPr>
                <w:rFonts w:hint="eastAsia" w:ascii="宋体" w:hAnsi="宋体" w:eastAsia="宋体" w:cs="宋体"/>
                <w:color w:val="auto"/>
                <w:sz w:val="22"/>
                <w:szCs w:val="22"/>
                <w:highlight w:val="none"/>
                <w:lang w:eastAsia="zh-CN"/>
              </w:rPr>
              <w:t>打捞</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eastAsia="宋体"/>
                <w:color w:val="auto"/>
                <w:highlight w:val="none"/>
                <w:lang w:eastAsia="zh-CN"/>
              </w:rPr>
            </w:pPr>
            <w:r>
              <w:rPr>
                <w:rFonts w:hint="eastAsia" w:ascii="宋体" w:hAnsi="宋体" w:eastAsia="宋体" w:cs="宋体"/>
                <w:color w:val="auto"/>
                <w:sz w:val="22"/>
                <w:szCs w:val="22"/>
                <w:highlight w:val="none"/>
              </w:rPr>
              <w:t>2、</w:t>
            </w:r>
            <w:r>
              <w:rPr>
                <w:rFonts w:hint="eastAsia" w:ascii="宋体" w:hAnsi="宋体" w:eastAsia="宋体" w:cs="宋体"/>
                <w:color w:val="auto"/>
                <w:sz w:val="22"/>
                <w:szCs w:val="22"/>
                <w:highlight w:val="none"/>
                <w:lang w:eastAsia="zh-CN"/>
              </w:rPr>
              <w:t>每月清洗、换水一次；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55"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水景观</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无杂物、无异味、无淤泥</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每日打捞一次；</w:t>
            </w:r>
          </w:p>
          <w:p>
            <w:pPr>
              <w:pStyle w:val="26"/>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每年清理、换水一次；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10"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路灯</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无蛛网、无虫迹、无粘贴物</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季度</w:t>
            </w:r>
            <w:r>
              <w:rPr>
                <w:rFonts w:hint="eastAsia" w:ascii="宋体" w:hAnsi="宋体" w:eastAsia="宋体" w:cs="宋体"/>
                <w:color w:val="auto"/>
                <w:sz w:val="22"/>
                <w:szCs w:val="22"/>
                <w:highlight w:val="none"/>
              </w:rPr>
              <w:t>擦抹一次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p>
        </w:tc>
      </w:tr>
    </w:tbl>
    <w:tbl>
      <w:tblPr>
        <w:tblStyle w:val="31"/>
        <w:tblpPr w:leftFromText="180" w:rightFromText="180" w:vertAnchor="text" w:horzAnchor="page" w:tblpX="1229" w:tblpY="557"/>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703"/>
        <w:gridCol w:w="4185"/>
        <w:gridCol w:w="42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标识</w:t>
            </w:r>
            <w:r>
              <w:rPr>
                <w:rFonts w:hint="eastAsia" w:ascii="宋体" w:hAnsi="宋体" w:eastAsia="宋体" w:cs="宋体"/>
                <w:color w:val="auto"/>
                <w:sz w:val="22"/>
                <w:szCs w:val="22"/>
                <w:highlight w:val="none"/>
                <w:lang w:eastAsia="zh-CN"/>
              </w:rPr>
              <w:t>标</w:t>
            </w:r>
            <w:r>
              <w:rPr>
                <w:rFonts w:hint="eastAsia" w:ascii="宋体" w:hAnsi="宋体" w:eastAsia="宋体" w:cs="宋体"/>
                <w:color w:val="auto"/>
                <w:sz w:val="22"/>
                <w:szCs w:val="22"/>
                <w:highlight w:val="none"/>
              </w:rPr>
              <w:t>牌</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无污迹、无积尘</w:t>
            </w:r>
            <w:r>
              <w:rPr>
                <w:rFonts w:hint="eastAsia" w:ascii="宋体" w:hAnsi="宋体" w:eastAsia="宋体" w:cs="宋体"/>
                <w:color w:val="auto"/>
                <w:sz w:val="22"/>
                <w:szCs w:val="22"/>
                <w:highlight w:val="none"/>
                <w:lang w:eastAsia="zh-CN"/>
              </w:rPr>
              <w:t>、无无关粘贴物</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val="en-US"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季度擦拭一次；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rPr>
              <w:t>防鼠网</w:t>
            </w:r>
            <w:r>
              <w:rPr>
                <w:rFonts w:hint="eastAsia" w:ascii="宋体" w:hAnsi="宋体" w:eastAsia="宋体" w:cs="宋体"/>
                <w:color w:val="auto"/>
                <w:sz w:val="22"/>
                <w:szCs w:val="22"/>
                <w:highlight w:val="none"/>
                <w:lang w:eastAsia="zh-CN"/>
              </w:rPr>
              <w:t>（水箅子）</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无果屑、烟头等垃圾、无蛛网</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180" w:firstLineChars="100"/>
              <w:rPr>
                <w:rFonts w:hint="eastAsia" w:eastAsia="宋体"/>
                <w:color w:val="auto"/>
                <w:highlight w:val="none"/>
                <w:lang w:eastAsia="zh-CN"/>
              </w:rPr>
            </w:pPr>
            <w:r>
              <w:rPr>
                <w:rFonts w:hint="eastAsia" w:eastAsia="宋体"/>
                <w:color w:val="auto"/>
                <w:highlight w:val="none"/>
                <w:lang w:eastAsia="zh-CN"/>
              </w:rPr>
              <w:t>每日一次清理；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遮阳伞</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无明显污迹、无积尘</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月清理一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草坪灯具</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无污迹、锈迹、无蛛网、无积尘</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季度擦拭一次；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rPr>
              <w:t>网球场</w:t>
            </w:r>
            <w:r>
              <w:rPr>
                <w:rFonts w:hint="eastAsia" w:ascii="宋体" w:hAnsi="宋体" w:eastAsia="宋体" w:cs="宋体"/>
                <w:color w:val="auto"/>
                <w:sz w:val="22"/>
                <w:szCs w:val="22"/>
                <w:highlight w:val="none"/>
                <w:lang w:eastAsia="zh-CN"/>
              </w:rPr>
              <w:t>、篮球场</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无垃圾、无积水、无污迹、无积尘、无蛛网</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拖洗一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，雨后即拖；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25" w:hRule="atLeast"/>
        </w:trPr>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游乐设施</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无垃圾、无污迹、无积尘、无蛛网</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擦拭一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每月</w:t>
            </w:r>
            <w:r>
              <w:rPr>
                <w:rFonts w:hint="eastAsia" w:ascii="宋体" w:hAnsi="宋体" w:eastAsia="宋体" w:cs="宋体"/>
                <w:color w:val="auto"/>
                <w:sz w:val="22"/>
                <w:szCs w:val="22"/>
                <w:highlight w:val="none"/>
                <w:lang w:eastAsia="zh-CN"/>
              </w:rPr>
              <w:t>消毒</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5" w:hRule="atLeast"/>
        </w:trPr>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道闸系统</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无水渍、无积尘、无污迹</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擦拭一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雨后即擦</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5" w:hRule="atLeast"/>
        </w:trPr>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岗亭</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无污痕、无积尘、无蛛网</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周冲洗一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eastAsiaTheme="minorEastAsia"/>
          <w:b/>
          <w:bCs/>
          <w:color w:val="auto"/>
          <w:sz w:val="22"/>
          <w:szCs w:val="22"/>
          <w:highlight w:val="none"/>
          <w:lang w:val="en-US" w:eastAsia="zh-CN"/>
        </w:rPr>
      </w:pPr>
      <w:r>
        <w:rPr>
          <w:rFonts w:hint="eastAsia"/>
          <w:b/>
          <w:bCs/>
          <w:color w:val="auto"/>
          <w:sz w:val="22"/>
          <w:szCs w:val="22"/>
          <w:highlight w:val="none"/>
          <w:lang w:val="en-US" w:eastAsia="zh-CN"/>
        </w:rPr>
        <w:t>2、楼道</w:t>
      </w:r>
    </w:p>
    <w:tbl>
      <w:tblPr>
        <w:tblStyle w:val="31"/>
        <w:tblpPr w:leftFromText="180" w:rightFromText="180" w:vertAnchor="text" w:horzAnchor="page" w:tblpX="1349" w:tblpY="257"/>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806"/>
        <w:gridCol w:w="3791"/>
        <w:gridCol w:w="45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540" w:hRule="atLeast"/>
        </w:trPr>
        <w:tc>
          <w:tcPr>
            <w:tcW w:w="1806"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150"/>
              <w:jc w:val="center"/>
              <w:rPr>
                <w:color w:val="auto"/>
                <w:highlight w:val="none"/>
              </w:rPr>
            </w:pPr>
            <w:r>
              <w:rPr>
                <w:rStyle w:val="34"/>
                <w:rFonts w:hint="eastAsia" w:ascii="宋体" w:hAnsi="宋体" w:eastAsia="宋体" w:cs="宋体"/>
                <w:color w:val="auto"/>
                <w:sz w:val="22"/>
                <w:szCs w:val="22"/>
                <w:highlight w:val="none"/>
              </w:rPr>
              <w:t>位置</w:t>
            </w:r>
          </w:p>
        </w:tc>
        <w:tc>
          <w:tcPr>
            <w:tcW w:w="3791"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390" w:right="0"/>
              <w:jc w:val="center"/>
              <w:rPr>
                <w:color w:val="auto"/>
                <w:highlight w:val="none"/>
              </w:rPr>
            </w:pPr>
            <w:r>
              <w:rPr>
                <w:rStyle w:val="34"/>
                <w:rFonts w:hint="eastAsia" w:ascii="宋体" w:hAnsi="宋体" w:eastAsia="宋体" w:cs="宋体"/>
                <w:color w:val="auto"/>
                <w:sz w:val="22"/>
                <w:szCs w:val="22"/>
                <w:highlight w:val="none"/>
              </w:rPr>
              <w:t>质量标准</w:t>
            </w:r>
          </w:p>
        </w:tc>
        <w:tc>
          <w:tcPr>
            <w:tcW w:w="4558"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jc w:val="center"/>
              <w:rPr>
                <w:color w:val="auto"/>
                <w:highlight w:val="none"/>
              </w:rPr>
            </w:pPr>
            <w:r>
              <w:rPr>
                <w:rStyle w:val="34"/>
                <w:rFonts w:hint="eastAsia" w:ascii="宋体" w:hAnsi="宋体" w:eastAsia="宋体" w:cs="宋体"/>
                <w:color w:val="auto"/>
                <w:sz w:val="22"/>
                <w:szCs w:val="22"/>
                <w:highlight w:val="none"/>
              </w:rPr>
              <w:t>工作频次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人行楼梯</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无生活垃圾、无建筑垃圾、地面光</w:t>
            </w:r>
            <w:r>
              <w:rPr>
                <w:rFonts w:hint="eastAsia" w:ascii="宋体" w:hAnsi="宋体" w:eastAsia="宋体" w:cs="宋体"/>
                <w:color w:val="auto"/>
                <w:sz w:val="22"/>
                <w:szCs w:val="22"/>
                <w:highlight w:val="none"/>
                <w:lang w:eastAsia="zh-CN"/>
              </w:rPr>
              <w:t>洁</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left"/>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两日打扫一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；每周拖洗一次；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rFonts w:hint="eastAsia" w:ascii="宋体" w:hAnsi="宋体" w:eastAsia="宋体" w:cs="宋体"/>
                <w:color w:val="auto"/>
                <w:kern w:val="0"/>
                <w:sz w:val="22"/>
                <w:szCs w:val="22"/>
                <w:highlight w:val="none"/>
                <w:lang w:val="en-US" w:eastAsia="zh-CN" w:bidi="ar"/>
              </w:rPr>
            </w:pPr>
            <w:r>
              <w:rPr>
                <w:rFonts w:hint="eastAsia" w:ascii="宋体" w:hAnsi="宋体" w:eastAsia="宋体" w:cs="宋体"/>
                <w:color w:val="auto"/>
                <w:kern w:val="0"/>
                <w:sz w:val="22"/>
                <w:szCs w:val="22"/>
                <w:highlight w:val="none"/>
                <w:lang w:val="en-US" w:eastAsia="zh-CN" w:bidi="ar"/>
              </w:rPr>
              <w:t>消防楼梯（电梯房）</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目视1.5米无生活垃圾、无建筑垃圾、地面光洁</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left"/>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每周打扫一次，每两周拖洗一次；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80" w:hRule="atLeast"/>
        </w:trPr>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扶手</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color w:val="auto"/>
                <w:highlight w:val="none"/>
              </w:rPr>
            </w:pPr>
            <w:r>
              <w:rPr>
                <w:rFonts w:hint="eastAsia" w:ascii="宋体" w:hAnsi="宋体" w:eastAsia="宋体" w:cs="宋体"/>
                <w:color w:val="auto"/>
                <w:sz w:val="22"/>
                <w:szCs w:val="22"/>
                <w:highlight w:val="none"/>
              </w:rPr>
              <w:t>无灰尘</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lang w:eastAsia="zh-CN"/>
              </w:rPr>
              <w:t>高层</w:t>
            </w: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周一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擦拭；多层每两天一次；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百叶窗</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无灰尘</w:t>
            </w:r>
            <w:r>
              <w:rPr>
                <w:rFonts w:hint="eastAsia" w:ascii="宋体" w:hAnsi="宋体" w:eastAsia="宋体" w:cs="宋体"/>
                <w:color w:val="auto"/>
                <w:sz w:val="22"/>
                <w:szCs w:val="22"/>
                <w:highlight w:val="none"/>
                <w:lang w:eastAsia="zh-CN"/>
              </w:rPr>
              <w:t>、无蛛网、无无关粘贴物</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月一次擦拭；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540" w:hRule="atLeast"/>
        </w:trPr>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天花顶</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无蛛网、无虫迹、无污迹</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每周</w:t>
            </w:r>
            <w:r>
              <w:rPr>
                <w:rFonts w:hint="eastAsia" w:ascii="宋体" w:hAnsi="宋体" w:eastAsia="宋体" w:cs="宋体"/>
                <w:color w:val="auto"/>
                <w:sz w:val="22"/>
                <w:szCs w:val="22"/>
                <w:highlight w:val="none"/>
                <w:lang w:eastAsia="zh-CN"/>
              </w:rPr>
              <w:t>二</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墙面</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Theme="minorEastAsia"/>
                <w:color w:val="auto"/>
                <w:highlight w:val="none"/>
                <w:lang w:eastAsia="zh-CN"/>
              </w:rPr>
            </w:pPr>
            <w:r>
              <w:rPr>
                <w:rFonts w:hint="eastAsia"/>
                <w:color w:val="auto"/>
                <w:highlight w:val="none"/>
                <w:lang w:eastAsia="zh-CN"/>
              </w:rPr>
              <w:t>无无关粘贴物</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Theme="minorEastAsia"/>
                <w:color w:val="auto"/>
                <w:highlight w:val="none"/>
                <w:lang w:eastAsia="zh-CN"/>
              </w:rPr>
            </w:pPr>
            <w:r>
              <w:rPr>
                <w:rFonts w:hint="eastAsia"/>
                <w:color w:val="auto"/>
                <w:highlight w:val="none"/>
                <w:lang w:eastAsia="zh-CN"/>
              </w:rPr>
              <w:t>每周二次清理；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单元门</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无污迹、无水痕、无积尘</w:t>
            </w:r>
            <w:r>
              <w:rPr>
                <w:rFonts w:hint="eastAsia" w:ascii="宋体" w:hAnsi="宋体" w:eastAsia="宋体" w:cs="宋体"/>
                <w:color w:val="auto"/>
                <w:sz w:val="22"/>
                <w:szCs w:val="22"/>
                <w:highlight w:val="none"/>
                <w:lang w:eastAsia="zh-CN"/>
              </w:rPr>
              <w:t>、无无关粘贴物</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日擦拭一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0" w:hRule="atLeast"/>
        </w:trPr>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rFonts w:hint="eastAsia" w:eastAsiaTheme="minorEastAsia"/>
                <w:color w:val="auto"/>
                <w:sz w:val="22"/>
                <w:szCs w:val="22"/>
                <w:highlight w:val="none"/>
                <w:lang w:eastAsia="zh-CN"/>
              </w:rPr>
            </w:pPr>
            <w:r>
              <w:rPr>
                <w:rFonts w:hint="eastAsia"/>
                <w:color w:val="auto"/>
                <w:sz w:val="22"/>
                <w:szCs w:val="22"/>
                <w:highlight w:val="none"/>
                <w:lang w:eastAsia="zh-CN"/>
              </w:rPr>
              <w:t>通风窗</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无蛛网、无积尘</w:t>
            </w:r>
            <w:r>
              <w:rPr>
                <w:rFonts w:hint="eastAsia" w:ascii="宋体" w:hAnsi="宋体" w:eastAsia="宋体" w:cs="宋体"/>
                <w:color w:val="auto"/>
                <w:sz w:val="22"/>
                <w:szCs w:val="22"/>
                <w:highlight w:val="none"/>
                <w:lang w:eastAsia="zh-CN"/>
              </w:rPr>
              <w:t>、无乱贴乱画</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两</w:t>
            </w:r>
            <w:r>
              <w:rPr>
                <w:rFonts w:hint="eastAsia" w:ascii="宋体" w:hAnsi="宋体" w:eastAsia="宋体" w:cs="宋体"/>
                <w:color w:val="auto"/>
                <w:sz w:val="22"/>
                <w:szCs w:val="22"/>
                <w:highlight w:val="none"/>
              </w:rPr>
              <w:t>周一次</w:t>
            </w:r>
            <w:r>
              <w:rPr>
                <w:rFonts w:hint="eastAsia" w:ascii="宋体" w:hAnsi="宋体" w:eastAsia="宋体" w:cs="宋体"/>
                <w:color w:val="auto"/>
                <w:sz w:val="22"/>
                <w:szCs w:val="22"/>
                <w:highlight w:val="none"/>
                <w:lang w:eastAsia="zh-CN"/>
              </w:rPr>
              <w:t>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rFonts w:hint="eastAsia" w:eastAsiaTheme="minorEastAsia"/>
                <w:color w:val="auto"/>
                <w:sz w:val="22"/>
                <w:szCs w:val="22"/>
                <w:highlight w:val="none"/>
                <w:lang w:eastAsia="zh-CN"/>
              </w:rPr>
            </w:pPr>
            <w:r>
              <w:rPr>
                <w:rFonts w:hint="eastAsia"/>
                <w:color w:val="auto"/>
                <w:sz w:val="22"/>
                <w:szCs w:val="22"/>
                <w:highlight w:val="none"/>
                <w:lang w:eastAsia="zh-CN"/>
              </w:rPr>
              <w:t>单元门顶</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Theme="minorEastAsia"/>
                <w:color w:val="auto"/>
                <w:highlight w:val="none"/>
                <w:lang w:eastAsia="zh-CN"/>
              </w:rPr>
            </w:pPr>
            <w:r>
              <w:rPr>
                <w:rFonts w:hint="eastAsia"/>
                <w:color w:val="auto"/>
                <w:highlight w:val="none"/>
                <w:lang w:eastAsia="zh-CN"/>
              </w:rPr>
              <w:t>无杂物、排水通畅</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季度</w:t>
            </w:r>
            <w:r>
              <w:rPr>
                <w:rFonts w:hint="eastAsia" w:ascii="宋体" w:hAnsi="宋体" w:eastAsia="宋体" w:cs="宋体"/>
                <w:color w:val="auto"/>
                <w:sz w:val="22"/>
                <w:szCs w:val="22"/>
                <w:highlight w:val="none"/>
              </w:rPr>
              <w:t>一</w:t>
            </w:r>
            <w:r>
              <w:rPr>
                <w:rFonts w:hint="eastAsia" w:ascii="宋体" w:hAnsi="宋体" w:eastAsia="宋体" w:cs="宋体"/>
                <w:color w:val="auto"/>
                <w:sz w:val="22"/>
                <w:szCs w:val="22"/>
                <w:highlight w:val="none"/>
                <w:lang w:eastAsia="zh-CN"/>
              </w:rPr>
              <w:t>次清理；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配电箱</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表面光洁</w:t>
            </w:r>
            <w:r>
              <w:rPr>
                <w:rFonts w:hint="eastAsia" w:ascii="宋体" w:hAnsi="宋体" w:eastAsia="宋体" w:cs="宋体"/>
                <w:color w:val="auto"/>
                <w:sz w:val="22"/>
                <w:szCs w:val="22"/>
                <w:highlight w:val="none"/>
                <w:lang w:eastAsia="zh-CN"/>
              </w:rPr>
              <w:t>、箱内无杂物</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月</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擦拭；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消火栓/灭火器、电源开关、消防紧急按钮</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无灰尘、</w:t>
            </w:r>
            <w:r>
              <w:rPr>
                <w:rFonts w:hint="eastAsia" w:ascii="宋体" w:hAnsi="宋体" w:eastAsia="宋体" w:cs="宋体"/>
                <w:color w:val="auto"/>
                <w:sz w:val="22"/>
                <w:szCs w:val="22"/>
                <w:highlight w:val="none"/>
                <w:lang w:eastAsia="zh-CN"/>
              </w:rPr>
              <w:t>无乱贴乱画</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default" w:eastAsia="宋体"/>
                <w:color w:val="auto"/>
                <w:highlight w:val="none"/>
                <w:lang w:val="en-US"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月</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擦拭；</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color w:val="auto"/>
          <w:highlight w:val="none"/>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eastAsiaTheme="minorEastAsia"/>
          <w:b/>
          <w:bCs/>
          <w:color w:val="auto"/>
          <w:sz w:val="22"/>
          <w:szCs w:val="22"/>
          <w:highlight w:val="none"/>
          <w:lang w:val="en-US" w:eastAsia="zh-CN"/>
        </w:rPr>
      </w:pPr>
      <w:r>
        <w:rPr>
          <w:rFonts w:hint="eastAsia"/>
          <w:b/>
          <w:bCs/>
          <w:color w:val="auto"/>
          <w:sz w:val="22"/>
          <w:szCs w:val="22"/>
          <w:highlight w:val="none"/>
          <w:lang w:val="en-US" w:eastAsia="zh-CN"/>
        </w:rPr>
        <w:t>3、公共厕所</w:t>
      </w:r>
    </w:p>
    <w:tbl>
      <w:tblPr>
        <w:tblStyle w:val="31"/>
        <w:tblpPr w:leftFromText="180" w:rightFromText="180" w:vertAnchor="text" w:horzAnchor="page" w:tblpX="1469" w:tblpY="281"/>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385"/>
        <w:gridCol w:w="3632"/>
        <w:gridCol w:w="41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45" w:hRule="atLeast"/>
        </w:trPr>
        <w:tc>
          <w:tcPr>
            <w:tcW w:w="2385"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center"/>
              <w:rPr>
                <w:color w:val="auto"/>
                <w:highlight w:val="none"/>
              </w:rPr>
            </w:pPr>
            <w:r>
              <w:rPr>
                <w:rStyle w:val="34"/>
                <w:rFonts w:hint="eastAsia" w:ascii="宋体" w:hAnsi="宋体" w:eastAsia="宋体" w:cs="宋体"/>
                <w:color w:val="auto"/>
                <w:sz w:val="22"/>
                <w:szCs w:val="22"/>
                <w:highlight w:val="none"/>
              </w:rPr>
              <w:t>位置</w:t>
            </w:r>
          </w:p>
        </w:tc>
        <w:tc>
          <w:tcPr>
            <w:tcW w:w="3632"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390" w:right="0"/>
              <w:jc w:val="center"/>
              <w:rPr>
                <w:color w:val="auto"/>
                <w:highlight w:val="none"/>
              </w:rPr>
            </w:pPr>
            <w:r>
              <w:rPr>
                <w:rStyle w:val="34"/>
                <w:rFonts w:hint="eastAsia" w:ascii="宋体" w:hAnsi="宋体" w:eastAsia="宋体" w:cs="宋体"/>
                <w:color w:val="auto"/>
                <w:sz w:val="22"/>
                <w:szCs w:val="22"/>
                <w:highlight w:val="none"/>
              </w:rPr>
              <w:t>质量标准</w:t>
            </w:r>
          </w:p>
        </w:tc>
        <w:tc>
          <w:tcPr>
            <w:tcW w:w="4138"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150" w:right="0"/>
              <w:jc w:val="center"/>
              <w:rPr>
                <w:color w:val="auto"/>
                <w:highlight w:val="none"/>
              </w:rPr>
            </w:pPr>
            <w:r>
              <w:rPr>
                <w:rStyle w:val="34"/>
                <w:rFonts w:hint="eastAsia" w:ascii="宋体" w:hAnsi="宋体" w:eastAsia="宋体" w:cs="宋体"/>
                <w:color w:val="auto"/>
                <w:sz w:val="22"/>
                <w:szCs w:val="22"/>
                <w:highlight w:val="none"/>
              </w:rPr>
              <w:t>工作频次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center"/>
              <w:rPr>
                <w:color w:val="auto"/>
                <w:highlight w:val="none"/>
              </w:rPr>
            </w:pPr>
            <w:r>
              <w:rPr>
                <w:rFonts w:hint="eastAsia" w:ascii="宋体" w:hAnsi="宋体" w:eastAsia="宋体" w:cs="宋体"/>
                <w:color w:val="auto"/>
                <w:sz w:val="22"/>
                <w:szCs w:val="22"/>
                <w:highlight w:val="none"/>
              </w:rPr>
              <w:t>龙头</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把手</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color w:val="auto"/>
                <w:highlight w:val="none"/>
              </w:rPr>
            </w:pPr>
            <w:r>
              <w:rPr>
                <w:rFonts w:hint="eastAsia" w:ascii="宋体" w:hAnsi="宋体" w:eastAsia="宋体" w:cs="宋体"/>
                <w:color w:val="auto"/>
                <w:sz w:val="22"/>
                <w:szCs w:val="22"/>
                <w:highlight w:val="none"/>
              </w:rPr>
              <w:t>光亮、无水迹、无锈迹</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擦拭</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color w:val="auto"/>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center"/>
              <w:rPr>
                <w:color w:val="auto"/>
                <w:highlight w:val="none"/>
              </w:rPr>
            </w:pPr>
            <w:r>
              <w:rPr>
                <w:rFonts w:hint="eastAsia" w:ascii="宋体" w:hAnsi="宋体" w:eastAsia="宋体" w:cs="宋体"/>
                <w:color w:val="auto"/>
                <w:sz w:val="22"/>
                <w:szCs w:val="22"/>
                <w:highlight w:val="none"/>
              </w:rPr>
              <w:t>不锈钢、铜制品</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color w:val="auto"/>
                <w:highlight w:val="none"/>
              </w:rPr>
            </w:pPr>
            <w:r>
              <w:rPr>
                <w:rFonts w:hint="eastAsia" w:ascii="宋体" w:hAnsi="宋体" w:eastAsia="宋体" w:cs="宋体"/>
                <w:color w:val="auto"/>
                <w:sz w:val="22"/>
                <w:szCs w:val="22"/>
                <w:highlight w:val="none"/>
              </w:rPr>
              <w:t>无指纹、光亮、无氧化迹印</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每周</w:t>
            </w:r>
            <w:r>
              <w:rPr>
                <w:rFonts w:hint="eastAsia" w:ascii="宋体" w:hAnsi="宋体" w:eastAsia="宋体" w:cs="宋体"/>
                <w:color w:val="auto"/>
                <w:sz w:val="22"/>
                <w:szCs w:val="22"/>
                <w:highlight w:val="none"/>
                <w:lang w:eastAsia="zh-CN"/>
              </w:rPr>
              <w:t>擦拭</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，每月一次打油；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35" w:hRule="atLeast"/>
        </w:trPr>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面盆</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color w:val="auto"/>
                <w:highlight w:val="none"/>
              </w:rPr>
            </w:pPr>
            <w:r>
              <w:rPr>
                <w:rFonts w:hint="eastAsia" w:ascii="宋体" w:hAnsi="宋体" w:eastAsia="宋体" w:cs="宋体"/>
                <w:color w:val="auto"/>
                <w:sz w:val="22"/>
                <w:szCs w:val="22"/>
                <w:highlight w:val="none"/>
              </w:rPr>
              <w:t>无污迹、自然光亮</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擦拭</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90" w:hRule="atLeast"/>
        </w:trPr>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center"/>
              <w:rPr>
                <w:color w:val="auto"/>
                <w:highlight w:val="none"/>
              </w:rPr>
            </w:pPr>
            <w:r>
              <w:rPr>
                <w:rFonts w:hint="eastAsia" w:ascii="宋体" w:hAnsi="宋体" w:eastAsia="宋体" w:cs="宋体"/>
                <w:color w:val="auto"/>
                <w:sz w:val="22"/>
                <w:szCs w:val="22"/>
                <w:highlight w:val="none"/>
              </w:rPr>
              <w:t>马桶（便池）</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color w:val="auto"/>
                <w:highlight w:val="none"/>
              </w:rPr>
            </w:pPr>
            <w:r>
              <w:rPr>
                <w:rFonts w:hint="eastAsia" w:ascii="宋体" w:hAnsi="宋体" w:eastAsia="宋体" w:cs="宋体"/>
                <w:color w:val="auto"/>
                <w:sz w:val="22"/>
                <w:szCs w:val="22"/>
                <w:highlight w:val="none"/>
              </w:rPr>
              <w:t>无污迹、无异味</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刷洗</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center"/>
              <w:rPr>
                <w:color w:val="auto"/>
                <w:highlight w:val="none"/>
              </w:rPr>
            </w:pPr>
            <w:r>
              <w:rPr>
                <w:rFonts w:hint="eastAsia" w:ascii="宋体" w:hAnsi="宋体" w:eastAsia="宋体" w:cs="宋体"/>
                <w:color w:val="auto"/>
                <w:sz w:val="22"/>
                <w:szCs w:val="22"/>
                <w:highlight w:val="none"/>
              </w:rPr>
              <w:t>玻璃镜面</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color w:val="auto"/>
                <w:highlight w:val="none"/>
              </w:rPr>
            </w:pPr>
            <w:r>
              <w:rPr>
                <w:rFonts w:hint="eastAsia" w:ascii="宋体" w:hAnsi="宋体" w:eastAsia="宋体" w:cs="宋体"/>
                <w:color w:val="auto"/>
                <w:sz w:val="22"/>
                <w:szCs w:val="22"/>
                <w:highlight w:val="none"/>
              </w:rPr>
              <w:t>无水迹、无指痕，光亮</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rFonts w:hint="eastAsia" w:eastAsia="宋体"/>
                <w:color w:val="auto"/>
                <w:highlight w:val="none"/>
                <w:lang w:eastAsia="zh-CN"/>
              </w:rPr>
            </w:pPr>
            <w:r>
              <w:rPr>
                <w:rFonts w:hint="eastAsia" w:ascii="宋体" w:hAnsi="宋体" w:eastAsia="宋体" w:cs="宋体"/>
                <w:color w:val="auto"/>
                <w:sz w:val="22"/>
                <w:szCs w:val="22"/>
                <w:highlight w:val="none"/>
                <w:lang w:eastAsia="zh-CN"/>
              </w:rPr>
              <w:t>每日擦拭两次；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90" w:hRule="atLeast"/>
        </w:trPr>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地漏</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color w:val="auto"/>
                <w:highlight w:val="none"/>
              </w:rPr>
            </w:pPr>
            <w:r>
              <w:rPr>
                <w:rFonts w:hint="eastAsia" w:ascii="宋体" w:hAnsi="宋体" w:eastAsia="宋体" w:cs="宋体"/>
                <w:color w:val="auto"/>
                <w:sz w:val="22"/>
                <w:szCs w:val="22"/>
                <w:highlight w:val="none"/>
              </w:rPr>
              <w:t>无污迹、无垃圾</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rFonts w:hint="eastAsia" w:eastAsia="宋体"/>
                <w:color w:val="auto"/>
                <w:highlight w:val="none"/>
                <w:lang w:eastAsia="zh-CN"/>
              </w:rPr>
            </w:pPr>
            <w:r>
              <w:rPr>
                <w:rFonts w:hint="eastAsia" w:ascii="宋体" w:hAnsi="宋体" w:eastAsia="宋体" w:cs="宋体"/>
                <w:color w:val="auto"/>
                <w:sz w:val="22"/>
                <w:szCs w:val="22"/>
                <w:highlight w:val="none"/>
              </w:rPr>
              <w:t>每周</w:t>
            </w:r>
            <w:r>
              <w:rPr>
                <w:rFonts w:hint="eastAsia" w:ascii="宋体" w:hAnsi="宋体" w:eastAsia="宋体" w:cs="宋体"/>
                <w:color w:val="auto"/>
                <w:sz w:val="22"/>
                <w:szCs w:val="22"/>
                <w:highlight w:val="none"/>
                <w:lang w:eastAsia="zh-CN"/>
              </w:rPr>
              <w:t>清理</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地垫</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color w:val="auto"/>
                <w:highlight w:val="none"/>
              </w:rPr>
            </w:pPr>
            <w:r>
              <w:rPr>
                <w:rFonts w:hint="eastAsia" w:ascii="宋体" w:hAnsi="宋体" w:eastAsia="宋体" w:cs="宋体"/>
                <w:color w:val="auto"/>
                <w:sz w:val="22"/>
                <w:szCs w:val="22"/>
                <w:highlight w:val="none"/>
              </w:rPr>
              <w:t>无污迹、无油迹</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rFonts w:hint="eastAsia" w:eastAsia="宋体"/>
                <w:color w:val="auto"/>
                <w:highlight w:val="none"/>
                <w:lang w:eastAsia="zh-CN"/>
              </w:rPr>
            </w:pPr>
            <w:r>
              <w:rPr>
                <w:rFonts w:hint="eastAsia" w:ascii="宋体" w:hAnsi="宋体" w:eastAsia="宋体" w:cs="宋体"/>
                <w:color w:val="auto"/>
                <w:sz w:val="22"/>
                <w:szCs w:val="22"/>
                <w:highlight w:val="none"/>
              </w:rPr>
              <w:t>每周</w:t>
            </w:r>
            <w:r>
              <w:rPr>
                <w:rFonts w:hint="eastAsia" w:ascii="宋体" w:hAnsi="宋体" w:eastAsia="宋体" w:cs="宋体"/>
                <w:color w:val="auto"/>
                <w:sz w:val="22"/>
                <w:szCs w:val="22"/>
                <w:highlight w:val="none"/>
                <w:lang w:eastAsia="zh-CN"/>
              </w:rPr>
              <w:t>刷洗</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砖</w:t>
            </w:r>
            <w:r>
              <w:rPr>
                <w:rFonts w:ascii="宋体" w:hAnsi="宋体" w:eastAsia="宋体" w:cs="宋体"/>
                <w:color w:val="auto"/>
                <w:kern w:val="0"/>
                <w:sz w:val="22"/>
                <w:szCs w:val="22"/>
                <w:highlight w:val="none"/>
                <w:lang w:val="en-US" w:eastAsia="zh-CN" w:bidi="ar"/>
              </w:rPr>
              <w:t>墙面</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auto"/>
                <w:highlight w:val="none"/>
              </w:rPr>
            </w:pPr>
            <w:r>
              <w:rPr>
                <w:rFonts w:hint="eastAsia" w:ascii="宋体" w:hAnsi="宋体" w:eastAsia="宋体" w:cs="宋体"/>
                <w:color w:val="auto"/>
                <w:sz w:val="22"/>
                <w:szCs w:val="22"/>
                <w:highlight w:val="none"/>
              </w:rPr>
              <w:t>无积尘、无污迹</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周擦拭</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auto"/>
                <w:highlight w:val="none"/>
              </w:rPr>
            </w:pPr>
            <w:r>
              <w:rPr>
                <w:color w:val="auto"/>
                <w:sz w:val="22"/>
                <w:szCs w:val="22"/>
                <w:highlight w:val="none"/>
              </w:rPr>
              <w:t>地面</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auto"/>
                <w:highlight w:val="none"/>
              </w:rPr>
            </w:pPr>
            <w:r>
              <w:rPr>
                <w:rFonts w:hint="eastAsia" w:ascii="宋体" w:hAnsi="宋体" w:eastAsia="宋体" w:cs="宋体"/>
                <w:color w:val="auto"/>
                <w:sz w:val="22"/>
                <w:szCs w:val="22"/>
                <w:highlight w:val="none"/>
              </w:rPr>
              <w:t>无污迹、无积水</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拖洗</w:t>
            </w:r>
            <w:r>
              <w:rPr>
                <w:rFonts w:hint="eastAsia" w:ascii="宋体" w:hAnsi="宋体" w:eastAsia="宋体" w:cs="宋体"/>
                <w:color w:val="auto"/>
                <w:sz w:val="22"/>
                <w:szCs w:val="22"/>
                <w:highlight w:val="none"/>
              </w:rPr>
              <w:t>两次</w:t>
            </w:r>
            <w:r>
              <w:rPr>
                <w:rFonts w:hint="eastAsia" w:ascii="宋体" w:hAnsi="宋体" w:eastAsia="宋体" w:cs="宋体"/>
                <w:color w:val="auto"/>
                <w:sz w:val="22"/>
                <w:szCs w:val="22"/>
                <w:highlight w:val="none"/>
                <w:lang w:eastAsia="zh-CN"/>
              </w:rPr>
              <w:t>；</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0" w:firstLineChars="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0" w:firstLineChars="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0" w:firstLineChars="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sz w:val="22"/>
          <w:szCs w:val="22"/>
          <w:highlight w:val="none"/>
          <w:lang w:val="en-US" w:eastAsia="zh-CN"/>
        </w:rPr>
      </w:pPr>
      <w:r>
        <w:rPr>
          <w:rFonts w:hint="eastAsia"/>
          <w:b/>
          <w:bCs/>
          <w:color w:val="auto"/>
          <w:sz w:val="22"/>
          <w:szCs w:val="22"/>
          <w:highlight w:val="none"/>
          <w:lang w:val="en-US" w:eastAsia="zh-CN"/>
        </w:rPr>
        <w:t>4</w:t>
      </w: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sz w:val="22"/>
          <w:szCs w:val="22"/>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sz w:val="22"/>
          <w:szCs w:val="22"/>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sz w:val="22"/>
          <w:szCs w:val="22"/>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sz w:val="22"/>
          <w:szCs w:val="22"/>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sz w:val="22"/>
          <w:szCs w:val="22"/>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sz w:val="22"/>
          <w:szCs w:val="22"/>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sz w:val="22"/>
          <w:szCs w:val="22"/>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eastAsiaTheme="minorEastAsia"/>
          <w:b/>
          <w:bCs/>
          <w:color w:val="auto"/>
          <w:sz w:val="22"/>
          <w:szCs w:val="22"/>
          <w:highlight w:val="none"/>
          <w:lang w:val="en-US" w:eastAsia="zh-CN"/>
        </w:rPr>
      </w:pPr>
      <w:r>
        <w:rPr>
          <w:rFonts w:hint="eastAsia"/>
          <w:b/>
          <w:bCs/>
          <w:color w:val="auto"/>
          <w:sz w:val="22"/>
          <w:szCs w:val="22"/>
          <w:highlight w:val="none"/>
          <w:lang w:val="en-US" w:eastAsia="zh-CN"/>
        </w:rPr>
        <w:t>4、垃圾中转站</w:t>
      </w:r>
    </w:p>
    <w:tbl>
      <w:tblPr>
        <w:tblStyle w:val="31"/>
        <w:tblpPr w:leftFromText="180" w:rightFromText="180" w:vertAnchor="text" w:horzAnchor="page" w:tblpX="1499" w:tblpY="242"/>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907"/>
        <w:gridCol w:w="3126"/>
        <w:gridCol w:w="51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60" w:hRule="atLeast"/>
        </w:trPr>
        <w:tc>
          <w:tcPr>
            <w:tcW w:w="1907"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Style w:val="34"/>
                <w:rFonts w:hint="eastAsia" w:ascii="宋体" w:hAnsi="宋体" w:eastAsia="宋体" w:cs="宋体"/>
                <w:color w:val="auto"/>
                <w:sz w:val="22"/>
                <w:szCs w:val="22"/>
                <w:highlight w:val="none"/>
              </w:rPr>
              <w:t>位置</w:t>
            </w:r>
          </w:p>
        </w:tc>
        <w:tc>
          <w:tcPr>
            <w:tcW w:w="3126"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Style w:val="34"/>
                <w:rFonts w:hint="eastAsia" w:ascii="宋体" w:hAnsi="宋体" w:eastAsia="宋体" w:cs="宋体"/>
                <w:color w:val="auto"/>
                <w:kern w:val="0"/>
                <w:sz w:val="22"/>
                <w:szCs w:val="22"/>
                <w:highlight w:val="none"/>
                <w:lang w:val="en-US" w:eastAsia="zh-CN" w:bidi="ar"/>
              </w:rPr>
              <w:t>质量标准</w:t>
            </w:r>
          </w:p>
        </w:tc>
        <w:tc>
          <w:tcPr>
            <w:tcW w:w="5122"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150" w:right="0"/>
              <w:jc w:val="center"/>
              <w:rPr>
                <w:color w:val="auto"/>
                <w:highlight w:val="none"/>
              </w:rPr>
            </w:pPr>
            <w:r>
              <w:rPr>
                <w:rStyle w:val="34"/>
                <w:rFonts w:hint="eastAsia" w:ascii="宋体" w:hAnsi="宋体" w:eastAsia="宋体" w:cs="宋体"/>
                <w:color w:val="auto"/>
                <w:sz w:val="22"/>
                <w:szCs w:val="22"/>
                <w:highlight w:val="none"/>
              </w:rPr>
              <w:t>工作频次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907"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生活垃圾中转站</w:t>
            </w:r>
          </w:p>
        </w:tc>
        <w:tc>
          <w:tcPr>
            <w:tcW w:w="312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无遗弃垃圾、无臭味、无污水、无蚊虫、表面整洁</w:t>
            </w:r>
          </w:p>
        </w:tc>
        <w:tc>
          <w:tcPr>
            <w:tcW w:w="512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eastAsia="宋体"/>
                <w:color w:val="auto"/>
                <w:highlight w:val="none"/>
                <w:lang w:eastAsia="zh-CN"/>
              </w:rPr>
            </w:pPr>
            <w:r>
              <w:rPr>
                <w:color w:val="auto"/>
                <w:sz w:val="22"/>
                <w:szCs w:val="22"/>
                <w:highlight w:val="none"/>
              </w:rPr>
              <w:t>每日</w:t>
            </w:r>
            <w:r>
              <w:rPr>
                <w:rFonts w:hint="eastAsia"/>
                <w:color w:val="auto"/>
                <w:sz w:val="22"/>
                <w:szCs w:val="22"/>
                <w:highlight w:val="none"/>
                <w:lang w:eastAsia="zh-CN"/>
              </w:rPr>
              <w:t>清扫</w:t>
            </w:r>
            <w:r>
              <w:rPr>
                <w:color w:val="auto"/>
                <w:sz w:val="22"/>
                <w:szCs w:val="22"/>
                <w:highlight w:val="none"/>
              </w:rPr>
              <w:t>一次</w:t>
            </w:r>
            <w:r>
              <w:rPr>
                <w:rFonts w:hint="eastAsia"/>
                <w:color w:val="auto"/>
                <w:sz w:val="22"/>
                <w:szCs w:val="22"/>
                <w:highlight w:val="none"/>
                <w:lang w:eastAsia="zh-CN"/>
              </w:rPr>
              <w:t>；</w:t>
            </w:r>
            <w:r>
              <w:rPr>
                <w:rFonts w:hint="eastAsia" w:ascii="宋体" w:hAnsi="宋体" w:eastAsia="宋体" w:cs="宋体"/>
                <w:color w:val="auto"/>
                <w:sz w:val="22"/>
                <w:szCs w:val="22"/>
                <w:highlight w:val="none"/>
              </w:rPr>
              <w:t>每周彻底清洗，消毒一次（含垃圾桶）</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885" w:hRule="atLeast"/>
        </w:trPr>
        <w:tc>
          <w:tcPr>
            <w:tcW w:w="1907"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建渣堆放点</w:t>
            </w:r>
          </w:p>
        </w:tc>
        <w:tc>
          <w:tcPr>
            <w:tcW w:w="312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集中堆放、有遮挡物、不得与生活垃圾混放</w:t>
            </w:r>
          </w:p>
        </w:tc>
        <w:tc>
          <w:tcPr>
            <w:tcW w:w="5122"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ascii="宋体" w:hAnsi="宋体" w:eastAsia="宋体" w:cs="宋体"/>
                <w:color w:val="auto"/>
                <w:kern w:val="0"/>
                <w:sz w:val="22"/>
                <w:szCs w:val="22"/>
                <w:highlight w:val="none"/>
                <w:lang w:val="en-US" w:eastAsia="zh-CN" w:bidi="ar"/>
              </w:rPr>
              <w:t>视实际情况及时清理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40" w:hRule="atLeast"/>
        </w:trPr>
        <w:tc>
          <w:tcPr>
            <w:tcW w:w="1907"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弃置旧家俱、废物堆放</w:t>
            </w:r>
          </w:p>
        </w:tc>
        <w:tc>
          <w:tcPr>
            <w:tcW w:w="312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120"/>
              <w:jc w:val="center"/>
              <w:rPr>
                <w:color w:val="auto"/>
                <w:highlight w:val="none"/>
              </w:rPr>
            </w:pPr>
            <w:r>
              <w:rPr>
                <w:rFonts w:hint="eastAsia" w:ascii="宋体" w:hAnsi="宋体" w:eastAsia="宋体" w:cs="宋体"/>
                <w:color w:val="auto"/>
                <w:sz w:val="22"/>
                <w:szCs w:val="22"/>
                <w:highlight w:val="none"/>
              </w:rPr>
              <w:t>清理及时、地面整洁</w:t>
            </w:r>
          </w:p>
        </w:tc>
        <w:tc>
          <w:tcPr>
            <w:tcW w:w="5122"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视实际情况及时清理</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color w:val="auto"/>
          <w:highlight w:val="none"/>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eastAsiaTheme="minorEastAsia"/>
          <w:b/>
          <w:bCs/>
          <w:color w:val="auto"/>
          <w:sz w:val="22"/>
          <w:szCs w:val="22"/>
          <w:highlight w:val="none"/>
          <w:lang w:val="en-US" w:eastAsia="zh-CN"/>
        </w:rPr>
      </w:pPr>
      <w:r>
        <w:rPr>
          <w:rFonts w:hint="eastAsia"/>
          <w:b/>
          <w:bCs/>
          <w:color w:val="auto"/>
          <w:sz w:val="22"/>
          <w:szCs w:val="22"/>
          <w:highlight w:val="none"/>
          <w:lang w:val="en-US" w:eastAsia="zh-CN"/>
        </w:rPr>
        <w:t>5、停车场</w:t>
      </w:r>
    </w:p>
    <w:tbl>
      <w:tblPr>
        <w:tblStyle w:val="31"/>
        <w:tblpPr w:leftFromText="180" w:rightFromText="180" w:vertAnchor="text" w:horzAnchor="page" w:tblpX="1484" w:tblpY="239"/>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111"/>
        <w:gridCol w:w="5059"/>
        <w:gridCol w:w="1150"/>
        <w:gridCol w:w="28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45" w:hRule="atLeast"/>
        </w:trPr>
        <w:tc>
          <w:tcPr>
            <w:tcW w:w="1111"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rPr>
                <w:color w:val="auto"/>
                <w:highlight w:val="none"/>
              </w:rPr>
            </w:pPr>
            <w:r>
              <w:rPr>
                <w:rStyle w:val="34"/>
                <w:rFonts w:hint="eastAsia" w:ascii="宋体" w:hAnsi="宋体" w:eastAsia="宋体" w:cs="宋体"/>
                <w:color w:val="auto"/>
                <w:sz w:val="22"/>
                <w:szCs w:val="22"/>
                <w:highlight w:val="none"/>
              </w:rPr>
              <w:t>位置</w:t>
            </w:r>
          </w:p>
        </w:tc>
        <w:tc>
          <w:tcPr>
            <w:tcW w:w="5059"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rPr>
                <w:color w:val="auto"/>
                <w:highlight w:val="none"/>
              </w:rPr>
            </w:pPr>
            <w:r>
              <w:rPr>
                <w:rStyle w:val="34"/>
                <w:rFonts w:hint="eastAsia" w:ascii="宋体" w:hAnsi="宋体" w:eastAsia="宋体" w:cs="宋体"/>
                <w:color w:val="auto"/>
                <w:sz w:val="22"/>
                <w:szCs w:val="22"/>
                <w:highlight w:val="none"/>
              </w:rPr>
              <w:t>工作程序</w:t>
            </w:r>
          </w:p>
        </w:tc>
        <w:tc>
          <w:tcPr>
            <w:tcW w:w="1150"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rPr>
                <w:color w:val="auto"/>
                <w:highlight w:val="none"/>
              </w:rPr>
            </w:pPr>
            <w:r>
              <w:rPr>
                <w:rStyle w:val="34"/>
                <w:rFonts w:hint="eastAsia" w:ascii="宋体" w:hAnsi="宋体" w:eastAsia="宋体" w:cs="宋体"/>
                <w:color w:val="auto"/>
                <w:sz w:val="22"/>
                <w:szCs w:val="22"/>
                <w:highlight w:val="none"/>
              </w:rPr>
              <w:t>质量标准</w:t>
            </w:r>
          </w:p>
        </w:tc>
        <w:tc>
          <w:tcPr>
            <w:tcW w:w="2835"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rPr>
                <w:color w:val="auto"/>
                <w:highlight w:val="none"/>
              </w:rPr>
            </w:pPr>
            <w:r>
              <w:rPr>
                <w:rStyle w:val="34"/>
                <w:rFonts w:hint="eastAsia" w:ascii="宋体" w:hAnsi="宋体" w:eastAsia="宋体" w:cs="宋体"/>
                <w:color w:val="auto"/>
                <w:sz w:val="22"/>
                <w:szCs w:val="22"/>
                <w:highlight w:val="none"/>
              </w:rPr>
              <w:t>工作频次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780" w:hRule="atLeast"/>
        </w:trPr>
        <w:tc>
          <w:tcPr>
            <w:tcW w:w="111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rPr>
                <w:color w:val="auto"/>
                <w:highlight w:val="none"/>
              </w:rPr>
            </w:pPr>
            <w:r>
              <w:rPr>
                <w:rFonts w:hint="eastAsia" w:ascii="宋体" w:hAnsi="宋体" w:eastAsia="宋体" w:cs="宋体"/>
                <w:color w:val="auto"/>
                <w:sz w:val="22"/>
                <w:szCs w:val="22"/>
                <w:highlight w:val="none"/>
              </w:rPr>
              <w:t>停车场（包括楼梯阶）</w:t>
            </w:r>
          </w:p>
        </w:tc>
        <w:tc>
          <w:tcPr>
            <w:tcW w:w="5059"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1、清理设备管道和墙面表面浮尘</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2、清倒垃圾箱</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3、冲洗停车场，清除地面油污</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4、擦抹消防门、扶手、指示牌、广告箱、消防栓箱及灯箱等</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5、清理渗漏水或消防喉管流出积水</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6、清扫车场地面</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7、清理排污井积污坑</w:t>
            </w:r>
          </w:p>
        </w:tc>
        <w:tc>
          <w:tcPr>
            <w:tcW w:w="1150"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干净整洁、无垃圾杂物、地面无油污、无积水、无蜘蛛网、目视无积尘</w:t>
            </w:r>
          </w:p>
        </w:tc>
        <w:tc>
          <w:tcPr>
            <w:tcW w:w="283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1、每月一次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2、每日</w:t>
            </w:r>
            <w:r>
              <w:rPr>
                <w:rFonts w:hint="eastAsia" w:ascii="宋体" w:hAnsi="宋体" w:eastAsia="宋体" w:cs="宋体"/>
                <w:color w:val="auto"/>
                <w:sz w:val="22"/>
                <w:szCs w:val="22"/>
                <w:highlight w:val="none"/>
                <w:lang w:eastAsia="zh-CN"/>
              </w:rPr>
              <w:t>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3、每月一次地面冲洗、每周一次坡道冲洗，随时处理油污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4、每</w:t>
            </w:r>
            <w:r>
              <w:rPr>
                <w:rFonts w:hint="eastAsia" w:ascii="宋体" w:hAnsi="宋体" w:eastAsia="宋体" w:cs="宋体"/>
                <w:color w:val="auto"/>
                <w:sz w:val="22"/>
                <w:szCs w:val="22"/>
                <w:highlight w:val="none"/>
                <w:lang w:eastAsia="zh-CN"/>
              </w:rPr>
              <w:t>月</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5、每当有需要时</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6、每日二次</w:t>
            </w:r>
            <w:r>
              <w:rPr>
                <w:rFonts w:hint="eastAsia" w:ascii="宋体" w:hAnsi="宋体" w:eastAsia="宋体" w:cs="宋体"/>
                <w:color w:val="auto"/>
                <w:sz w:val="22"/>
                <w:szCs w:val="22"/>
                <w:highlight w:val="none"/>
                <w:lang w:eastAsia="zh-CN"/>
              </w:rPr>
              <w:t>清扫；</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7、每</w:t>
            </w:r>
            <w:r>
              <w:rPr>
                <w:rFonts w:hint="eastAsia" w:ascii="宋体" w:hAnsi="宋体" w:eastAsia="宋体" w:cs="宋体"/>
                <w:color w:val="auto"/>
                <w:sz w:val="22"/>
                <w:szCs w:val="22"/>
                <w:highlight w:val="none"/>
                <w:lang w:eastAsia="zh-CN"/>
              </w:rPr>
              <w:t>月一次。</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eastAsiaTheme="minorEastAsia"/>
          <w:b/>
          <w:bCs/>
          <w:color w:val="auto"/>
          <w:sz w:val="22"/>
          <w:szCs w:val="22"/>
          <w:highlight w:val="none"/>
          <w:lang w:val="en-US" w:eastAsia="zh-CN"/>
        </w:rPr>
      </w:pPr>
      <w:r>
        <w:rPr>
          <w:rFonts w:hint="eastAsia"/>
          <w:b/>
          <w:bCs/>
          <w:color w:val="auto"/>
          <w:sz w:val="22"/>
          <w:szCs w:val="22"/>
          <w:highlight w:val="none"/>
          <w:lang w:val="en-US" w:eastAsia="zh-CN"/>
        </w:rPr>
        <w:t>6、其他部位</w:t>
      </w:r>
    </w:p>
    <w:tbl>
      <w:tblPr>
        <w:tblStyle w:val="31"/>
        <w:tblpPr w:leftFromText="180" w:rightFromText="180" w:vertAnchor="text" w:horzAnchor="page" w:tblpX="1499" w:tblpY="209"/>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3385"/>
        <w:gridCol w:w="3385"/>
        <w:gridCol w:w="33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3385"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jc w:val="center"/>
              <w:rPr>
                <w:color w:val="auto"/>
                <w:highlight w:val="none"/>
              </w:rPr>
            </w:pPr>
            <w:r>
              <w:rPr>
                <w:rStyle w:val="34"/>
                <w:rFonts w:hint="eastAsia" w:ascii="宋体" w:hAnsi="宋体" w:eastAsia="宋体" w:cs="宋体"/>
                <w:color w:val="auto"/>
                <w:sz w:val="22"/>
                <w:szCs w:val="22"/>
                <w:highlight w:val="none"/>
              </w:rPr>
              <w:t>位置</w:t>
            </w:r>
          </w:p>
        </w:tc>
        <w:tc>
          <w:tcPr>
            <w:tcW w:w="3385" w:type="dxa"/>
            <w:tcBorders>
              <w:top w:val="single" w:color="auto" w:sz="6" w:space="0"/>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390" w:right="0"/>
              <w:jc w:val="center"/>
              <w:rPr>
                <w:color w:val="auto"/>
                <w:highlight w:val="none"/>
              </w:rPr>
            </w:pPr>
            <w:r>
              <w:rPr>
                <w:rStyle w:val="34"/>
                <w:rFonts w:hint="eastAsia" w:ascii="宋体" w:hAnsi="宋体" w:eastAsia="宋体" w:cs="宋体"/>
                <w:color w:val="auto"/>
                <w:sz w:val="22"/>
                <w:szCs w:val="22"/>
                <w:highlight w:val="none"/>
              </w:rPr>
              <w:t>质量标准</w:t>
            </w:r>
          </w:p>
        </w:tc>
        <w:tc>
          <w:tcPr>
            <w:tcW w:w="3385" w:type="dxa"/>
            <w:tcBorders>
              <w:top w:val="single" w:color="auto" w:sz="6" w:space="0"/>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150" w:right="0"/>
              <w:jc w:val="center"/>
              <w:rPr>
                <w:color w:val="auto"/>
                <w:highlight w:val="none"/>
              </w:rPr>
            </w:pPr>
            <w:r>
              <w:rPr>
                <w:rStyle w:val="34"/>
                <w:rFonts w:hint="eastAsia" w:ascii="宋体" w:hAnsi="宋体" w:eastAsia="宋体" w:cs="宋体"/>
                <w:color w:val="auto"/>
                <w:sz w:val="22"/>
                <w:szCs w:val="22"/>
                <w:highlight w:val="none"/>
              </w:rPr>
              <w:t>工作频次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lang w:eastAsia="zh-CN"/>
              </w:rPr>
              <w:t>露</w:t>
            </w:r>
            <w:r>
              <w:rPr>
                <w:rFonts w:hint="eastAsia" w:ascii="宋体" w:hAnsi="宋体" w:eastAsia="宋体" w:cs="宋体"/>
                <w:color w:val="auto"/>
                <w:sz w:val="22"/>
                <w:szCs w:val="22"/>
                <w:highlight w:val="none"/>
              </w:rPr>
              <w:t>台</w:t>
            </w:r>
            <w:r>
              <w:rPr>
                <w:rFonts w:hint="eastAsia" w:ascii="宋体" w:hAnsi="宋体" w:eastAsia="宋体" w:cs="宋体"/>
                <w:color w:val="auto"/>
                <w:sz w:val="22"/>
                <w:szCs w:val="22"/>
                <w:highlight w:val="none"/>
                <w:lang w:eastAsia="zh-CN"/>
              </w:rPr>
              <w:t>、楼顶平台</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rPr>
                <w:color w:val="auto"/>
                <w:highlight w:val="none"/>
              </w:rPr>
            </w:pPr>
            <w:r>
              <w:rPr>
                <w:rFonts w:hint="eastAsia" w:ascii="宋体" w:hAnsi="宋体" w:eastAsia="宋体" w:cs="宋体"/>
                <w:color w:val="auto"/>
                <w:sz w:val="22"/>
                <w:szCs w:val="22"/>
                <w:highlight w:val="none"/>
              </w:rPr>
              <w:t>无废弃物、无蛛网</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周一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清扫；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rPr>
              <w:t>天井</w:t>
            </w:r>
            <w:r>
              <w:rPr>
                <w:rFonts w:hint="eastAsia" w:ascii="宋体" w:hAnsi="宋体" w:eastAsia="宋体" w:cs="宋体"/>
                <w:color w:val="auto"/>
                <w:sz w:val="22"/>
                <w:szCs w:val="22"/>
                <w:highlight w:val="none"/>
                <w:lang w:eastAsia="zh-CN"/>
              </w:rPr>
              <w:t>位置</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rPr>
                <w:color w:val="auto"/>
                <w:highlight w:val="none"/>
              </w:rPr>
            </w:pPr>
            <w:r>
              <w:rPr>
                <w:rFonts w:hint="eastAsia" w:ascii="宋体" w:hAnsi="宋体" w:eastAsia="宋体" w:cs="宋体"/>
                <w:color w:val="auto"/>
                <w:sz w:val="22"/>
                <w:szCs w:val="22"/>
                <w:highlight w:val="none"/>
              </w:rPr>
              <w:t>无废弃物、无积水、无蛛网</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周</w:t>
            </w:r>
            <w:r>
              <w:rPr>
                <w:rFonts w:hint="eastAsia" w:ascii="宋体" w:hAnsi="宋体" w:eastAsia="宋体" w:cs="宋体"/>
                <w:color w:val="auto"/>
                <w:sz w:val="22"/>
                <w:szCs w:val="22"/>
                <w:highlight w:val="none"/>
              </w:rPr>
              <w:t>清理一次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jc w:val="center"/>
              <w:rPr>
                <w:color w:val="auto"/>
                <w:highlight w:val="none"/>
              </w:rPr>
            </w:pPr>
            <w:r>
              <w:rPr>
                <w:rFonts w:hint="eastAsia" w:ascii="宋体" w:hAnsi="宋体" w:eastAsia="宋体" w:cs="宋体"/>
                <w:color w:val="auto"/>
                <w:sz w:val="22"/>
                <w:szCs w:val="22"/>
                <w:highlight w:val="none"/>
              </w:rPr>
              <w:t>不锈钢（铜）、铝质品</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rPr>
                <w:color w:val="auto"/>
                <w:highlight w:val="none"/>
              </w:rPr>
            </w:pPr>
            <w:r>
              <w:rPr>
                <w:rFonts w:hint="eastAsia" w:ascii="宋体" w:hAnsi="宋体" w:eastAsia="宋体" w:cs="宋体"/>
                <w:color w:val="auto"/>
                <w:sz w:val="22"/>
                <w:szCs w:val="22"/>
                <w:highlight w:val="none"/>
              </w:rPr>
              <w:t>无污迹、表面光洁</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每当有需要时</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rPr>
              <w:t>高低空玻璃</w:t>
            </w:r>
            <w:r>
              <w:rPr>
                <w:rFonts w:hint="eastAsia" w:ascii="宋体" w:hAnsi="宋体" w:eastAsia="宋体" w:cs="宋体"/>
                <w:color w:val="auto"/>
                <w:sz w:val="22"/>
                <w:szCs w:val="22"/>
                <w:highlight w:val="none"/>
                <w:lang w:eastAsia="zh-CN"/>
              </w:rPr>
              <w:t>、雨棚</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auto"/>
                <w:highlight w:val="none"/>
              </w:rPr>
            </w:pPr>
            <w:r>
              <w:rPr>
                <w:rFonts w:hint="eastAsia" w:ascii="宋体" w:hAnsi="宋体" w:eastAsia="宋体" w:cs="宋体"/>
                <w:color w:val="auto"/>
                <w:sz w:val="22"/>
                <w:szCs w:val="22"/>
                <w:highlight w:val="none"/>
              </w:rPr>
              <w:t>无污迹、无积尘、表面光洁</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两月</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清洗</w:t>
            </w:r>
            <w:r>
              <w:rPr>
                <w:rFonts w:hint="eastAsia" w:ascii="宋体" w:hAnsi="宋体" w:eastAsia="宋体" w:cs="宋体"/>
                <w:color w:val="auto"/>
                <w:sz w:val="22"/>
                <w:szCs w:val="22"/>
                <w:highlight w:val="none"/>
              </w:rPr>
              <w:t>（部分高空玻璃幕墙视管理区域实际情况进行清洗）</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rPr>
              <w:t>排水沟（明沟）</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auto"/>
                <w:highlight w:val="none"/>
              </w:rPr>
            </w:pPr>
            <w:r>
              <w:rPr>
                <w:rFonts w:hint="eastAsia" w:ascii="宋体" w:hAnsi="宋体" w:eastAsia="宋体" w:cs="宋体"/>
                <w:color w:val="auto"/>
                <w:sz w:val="22"/>
                <w:szCs w:val="22"/>
                <w:highlight w:val="none"/>
              </w:rPr>
              <w:t>无淤泥、排水通畅</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两月</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清理</w:t>
            </w:r>
            <w:r>
              <w:rPr>
                <w:rFonts w:hint="eastAsia" w:ascii="宋体" w:hAnsi="宋体" w:eastAsia="宋体" w:cs="宋体"/>
                <w:color w:val="auto"/>
                <w:sz w:val="22"/>
                <w:szCs w:val="22"/>
                <w:highlight w:val="none"/>
              </w:rPr>
              <w:t>，视实际情况机动调整</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rPr>
              <w:t>雨、污水井</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auto"/>
                <w:highlight w:val="none"/>
              </w:rPr>
            </w:pPr>
            <w:r>
              <w:rPr>
                <w:rFonts w:hint="eastAsia" w:ascii="宋体" w:hAnsi="宋体" w:eastAsia="宋体" w:cs="宋体"/>
                <w:color w:val="auto"/>
                <w:sz w:val="22"/>
                <w:szCs w:val="22"/>
                <w:highlight w:val="none"/>
              </w:rPr>
              <w:t>无淤泥、排水通畅</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每月检查一次，视检查情况及时清掏疏通</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rPr>
              <w:t>化粪池</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auto"/>
                <w:highlight w:val="none"/>
              </w:rPr>
            </w:pPr>
            <w:r>
              <w:rPr>
                <w:rFonts w:hint="eastAsia" w:ascii="宋体" w:hAnsi="宋体" w:eastAsia="宋体" w:cs="宋体"/>
                <w:color w:val="auto"/>
                <w:sz w:val="22"/>
                <w:szCs w:val="22"/>
                <w:highlight w:val="none"/>
              </w:rPr>
              <w:t>排水通畅、无大量积聚污物</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每月检查一次，</w:t>
            </w:r>
            <w:r>
              <w:rPr>
                <w:rFonts w:hint="eastAsia" w:ascii="宋体" w:hAnsi="宋体" w:eastAsia="宋体" w:cs="宋体"/>
                <w:color w:val="auto"/>
                <w:sz w:val="22"/>
                <w:szCs w:val="22"/>
                <w:highlight w:val="none"/>
                <w:lang w:eastAsia="zh-CN"/>
              </w:rPr>
              <w:t>每半年清掏一次；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rPr>
              <w:t>外墙面</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auto"/>
                <w:highlight w:val="none"/>
              </w:rPr>
            </w:pPr>
            <w:r>
              <w:rPr>
                <w:rFonts w:hint="eastAsia" w:ascii="宋体" w:hAnsi="宋体" w:eastAsia="宋体" w:cs="宋体"/>
                <w:color w:val="auto"/>
                <w:sz w:val="22"/>
                <w:szCs w:val="22"/>
                <w:highlight w:val="none"/>
              </w:rPr>
              <w:t>无污迹、无积尘、无蛛网</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视管理区域实际情况进行清洗</w:t>
            </w:r>
            <w:r>
              <w:rPr>
                <w:rFonts w:hint="eastAsia" w:ascii="宋体" w:hAnsi="宋体" w:eastAsia="宋体" w:cs="宋体"/>
                <w:color w:val="auto"/>
                <w:sz w:val="22"/>
                <w:szCs w:val="22"/>
                <w:highlight w:val="none"/>
                <w:lang w:eastAsia="zh-CN"/>
              </w:rPr>
              <w:t>。</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firstLine="0" w:firstLineChars="0"/>
        <w:jc w:val="both"/>
        <w:rPr>
          <w:rFonts w:hint="eastAsia" w:eastAsiaTheme="minorEastAsia"/>
          <w:b/>
          <w:bCs/>
          <w:color w:val="auto"/>
          <w:sz w:val="22"/>
          <w:szCs w:val="22"/>
          <w:highlight w:val="none"/>
          <w:lang w:val="en-US" w:eastAsia="zh-CN"/>
        </w:rPr>
      </w:pPr>
      <w:r>
        <w:rPr>
          <w:rFonts w:hint="eastAsia"/>
          <w:b/>
          <w:bCs/>
          <w:color w:val="auto"/>
          <w:sz w:val="22"/>
          <w:szCs w:val="22"/>
          <w:highlight w:val="none"/>
          <w:lang w:val="en-US" w:eastAsia="zh-CN"/>
        </w:rPr>
        <w:t>7、消杀标准</w:t>
      </w: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color w:val="auto"/>
          <w:highlight w:val="none"/>
        </w:rPr>
      </w:pPr>
    </w:p>
    <w:tbl>
      <w:tblPr>
        <w:tblStyle w:val="31"/>
        <w:tblpPr w:leftFromText="180" w:rightFromText="180" w:vertAnchor="text" w:horzAnchor="page" w:tblpX="1454" w:tblpY="314"/>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893"/>
        <w:gridCol w:w="82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93"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Style w:val="34"/>
                <w:rFonts w:hint="eastAsia" w:ascii="宋体" w:hAnsi="宋体" w:eastAsia="宋体" w:cs="宋体"/>
                <w:color w:val="auto"/>
                <w:sz w:val="22"/>
                <w:szCs w:val="22"/>
                <w:highlight w:val="none"/>
              </w:rPr>
              <w:t>内容</w:t>
            </w:r>
          </w:p>
        </w:tc>
        <w:tc>
          <w:tcPr>
            <w:tcW w:w="8262" w:type="dxa"/>
            <w:tcBorders>
              <w:top w:val="single" w:color="auto" w:sz="6" w:space="0"/>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Style w:val="34"/>
                <w:rFonts w:hint="eastAsia" w:ascii="宋体" w:hAnsi="宋体" w:eastAsia="宋体" w:cs="宋体"/>
                <w:color w:val="auto"/>
                <w:sz w:val="22"/>
                <w:szCs w:val="22"/>
                <w:highlight w:val="none"/>
              </w:rPr>
              <w:t>检验标准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0" w:hRule="atLeast"/>
        </w:trPr>
        <w:tc>
          <w:tcPr>
            <w:tcW w:w="189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灭鼠</w:t>
            </w:r>
          </w:p>
        </w:tc>
        <w:tc>
          <w:tcPr>
            <w:tcW w:w="826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楼道无明显鼠迹、绿化带内无鼠洞</w:t>
            </w:r>
            <w:r>
              <w:rPr>
                <w:rFonts w:hint="eastAsia" w:ascii="宋体" w:hAnsi="宋体" w:eastAsia="宋体" w:cs="宋体"/>
                <w:color w:val="auto"/>
                <w:sz w:val="22"/>
                <w:szCs w:val="22"/>
                <w:highlight w:val="none"/>
                <w:lang w:eastAsia="zh-CN"/>
              </w:rPr>
              <w:t>，（每季一次）；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89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灭蚊</w:t>
            </w:r>
          </w:p>
        </w:tc>
        <w:tc>
          <w:tcPr>
            <w:tcW w:w="826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管理区域内无明显蚊虫在飞</w:t>
            </w:r>
            <w:r>
              <w:rPr>
                <w:rFonts w:hint="eastAsia" w:ascii="宋体" w:hAnsi="宋体" w:eastAsia="宋体" w:cs="宋体"/>
                <w:color w:val="auto"/>
                <w:sz w:val="22"/>
                <w:szCs w:val="22"/>
                <w:highlight w:val="none"/>
                <w:lang w:eastAsia="zh-CN"/>
              </w:rPr>
              <w:t>（夏季：每周一次）；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89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灭蝇</w:t>
            </w:r>
          </w:p>
        </w:tc>
        <w:tc>
          <w:tcPr>
            <w:tcW w:w="826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管理区域内无蝇蛆孳生，无明显苍蝇</w:t>
            </w:r>
            <w:r>
              <w:rPr>
                <w:rFonts w:hint="eastAsia" w:ascii="宋体" w:hAnsi="宋体" w:eastAsia="宋体" w:cs="宋体"/>
                <w:color w:val="auto"/>
                <w:sz w:val="22"/>
                <w:szCs w:val="22"/>
                <w:highlight w:val="none"/>
                <w:lang w:eastAsia="zh-CN"/>
              </w:rPr>
              <w:t>（夏季：每月一次）；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89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灭蟑螂</w:t>
            </w:r>
          </w:p>
        </w:tc>
        <w:tc>
          <w:tcPr>
            <w:tcW w:w="826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办公区域、库房、食堂、污水井、垃圾桶无蟑螂</w:t>
            </w:r>
            <w:r>
              <w:rPr>
                <w:rFonts w:hint="eastAsia" w:ascii="宋体" w:hAnsi="宋体" w:eastAsia="宋体" w:cs="宋体"/>
                <w:color w:val="auto"/>
                <w:sz w:val="22"/>
                <w:szCs w:val="22"/>
                <w:highlight w:val="none"/>
                <w:lang w:eastAsia="zh-CN"/>
              </w:rPr>
              <w:t>（每月一次）。</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7F7F7"/>
        <w:spacing w:before="0" w:beforeAutospacing="0" w:after="0" w:afterAutospacing="0" w:line="21" w:lineRule="atLeast"/>
        <w:ind w:left="0" w:right="0"/>
        <w:jc w:val="left"/>
        <w:rPr>
          <w:color w:val="auto"/>
          <w:sz w:val="25"/>
          <w:szCs w:val="25"/>
          <w:highlight w:val="none"/>
          <w:u w:val="none"/>
        </w:rPr>
      </w:pPr>
    </w:p>
    <w:p>
      <w:pPr>
        <w:rPr>
          <w:color w:val="auto"/>
          <w:highlight w:val="none"/>
        </w:rPr>
      </w:pPr>
    </w:p>
    <w:p>
      <w:pPr>
        <w:pStyle w:val="25"/>
        <w:keepNext w:val="0"/>
        <w:keepLines w:val="0"/>
        <w:pageBreakBefore w:val="0"/>
        <w:widowControl/>
        <w:suppressLineNumbers w:val="0"/>
        <w:kinsoku/>
        <w:wordWrap/>
        <w:overflowPunct/>
        <w:topLinePunct w:val="0"/>
        <w:autoSpaceDE/>
        <w:autoSpaceDN/>
        <w:bidi w:val="0"/>
        <w:adjustRightInd/>
        <w:snapToGrid/>
        <w:spacing w:line="360" w:lineRule="auto"/>
        <w:textAlignment w:val="auto"/>
        <w:rPr>
          <w:rFonts w:hint="eastAsia" w:ascii="宋体" w:hAnsi="宋体" w:eastAsia="宋体" w:cs="宋体"/>
          <w:b/>
          <w:bCs/>
          <w:i w:val="0"/>
          <w:iCs w:val="0"/>
          <w:caps w:val="0"/>
          <w:color w:val="auto"/>
          <w:spacing w:val="0"/>
          <w:sz w:val="28"/>
          <w:szCs w:val="28"/>
          <w:highlight w:val="none"/>
        </w:rPr>
      </w:pPr>
      <w:r>
        <w:rPr>
          <w:rFonts w:hint="eastAsia" w:ascii="宋体" w:hAnsi="宋体" w:eastAsia="宋体" w:cs="宋体"/>
          <w:b/>
          <w:bCs/>
          <w:i w:val="0"/>
          <w:iCs w:val="0"/>
          <w:caps w:val="0"/>
          <w:color w:val="auto"/>
          <w:spacing w:val="0"/>
          <w:sz w:val="28"/>
          <w:szCs w:val="28"/>
          <w:highlight w:val="none"/>
        </w:rPr>
        <w:t>二</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textAlignment w:val="auto"/>
        <w:rPr>
          <w:rFonts w:hint="eastAsia" w:ascii="宋体" w:hAnsi="宋体" w:eastAsia="宋体" w:cs="宋体"/>
          <w:b/>
          <w:bCs/>
          <w:i w:val="0"/>
          <w:iCs w:val="0"/>
          <w:caps w:val="0"/>
          <w:color w:val="auto"/>
          <w:spacing w:val="0"/>
          <w:sz w:val="28"/>
          <w:szCs w:val="28"/>
          <w:highlight w:val="none"/>
        </w:rPr>
      </w:pP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b/>
          <w:bCs/>
          <w:i w:val="0"/>
          <w:iCs w:val="0"/>
          <w:caps w:val="0"/>
          <w:color w:val="auto"/>
          <w:spacing w:val="0"/>
          <w:sz w:val="22"/>
          <w:szCs w:val="22"/>
          <w:highlight w:val="none"/>
          <w:lang w:val="en-US" w:eastAsia="zh-CN"/>
        </w:rPr>
      </w:pPr>
      <w:r>
        <w:rPr>
          <w:rFonts w:hint="eastAsia" w:cs="宋体"/>
          <w:b/>
          <w:bCs/>
          <w:i w:val="0"/>
          <w:iCs w:val="0"/>
          <w:caps w:val="0"/>
          <w:color w:val="auto"/>
          <w:spacing w:val="0"/>
          <w:sz w:val="22"/>
          <w:szCs w:val="22"/>
          <w:highlight w:val="none"/>
          <w:lang w:val="en-US" w:eastAsia="zh-CN"/>
        </w:rPr>
        <w:t>4、</w:t>
      </w:r>
      <w:r>
        <w:rPr>
          <w:rFonts w:hint="eastAsia" w:ascii="宋体" w:hAnsi="宋体" w:eastAsia="宋体" w:cs="宋体"/>
          <w:b/>
          <w:bCs/>
          <w:i w:val="0"/>
          <w:iCs w:val="0"/>
          <w:caps w:val="0"/>
          <w:color w:val="auto"/>
          <w:spacing w:val="0"/>
          <w:sz w:val="22"/>
          <w:szCs w:val="22"/>
          <w:highlight w:val="none"/>
        </w:rPr>
        <w:t>绿化养护</w:t>
      </w:r>
      <w:r>
        <w:rPr>
          <w:rFonts w:hint="eastAsia" w:cs="宋体"/>
          <w:b/>
          <w:bCs/>
          <w:i w:val="0"/>
          <w:iCs w:val="0"/>
          <w:caps w:val="0"/>
          <w:color w:val="auto"/>
          <w:spacing w:val="0"/>
          <w:sz w:val="22"/>
          <w:szCs w:val="22"/>
          <w:highlight w:val="none"/>
          <w:lang w:val="en-US" w:eastAsia="zh-CN"/>
        </w:rPr>
        <w:t>内容及标准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(一)绿化服务范围</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1.商住小区绿化养护服务包括绿化养护里的修枝、整形、病虫害防治、施肥、浇水、扯草、植树、补栽、清理枯枝、排水工作、做好树木防汛防台前后的检查工、肥水管理等综合服务,具体服务范围及内容如下:</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1)对本养护项目实施养护管理所用的一切劳动力、材料设备和服装由承包单位自行承担。</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2)绿化养护期限内,养护项目设施量发生减少及毁损的,承包单位应及时补齐或修复(补栽同类的植物),并自行承担所需费用。合同期限届满时,承包单位应保证养护项目设施量完好无损。未完好的,由承包单位负责补齐或修复。届时,未补齐或修复的,甲方可自行或委托他人补齐或修复,费用由承包单位负责。</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3)承包单位应定期向甲方汇报养护管理计划及有关措施。</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4)承包单位必须重视安全生产,确保全年不出安全责任事故,养护期间,养护工人由于操作不规范等因素造成的安全责任事故,由承包单位承担一切责任及损失</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(二)绿化服务标准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1、草地养护服务标准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工具配置:小铁棒、垃圾袋、剪草机、锄头、洞撬、喷灌设施(水车)、喷雾器</w:t>
      </w:r>
      <w:r>
        <w:rPr>
          <w:rFonts w:hint="eastAsia" w:cs="宋体"/>
          <w:i w:val="0"/>
          <w:iCs w:val="0"/>
          <w:caps w:val="0"/>
          <w:color w:val="auto"/>
          <w:spacing w:val="0"/>
          <w:sz w:val="22"/>
          <w:szCs w:val="22"/>
          <w:highlight w:val="none"/>
          <w:lang w:eastAsia="zh-CN"/>
        </w:rPr>
        <w:t>等</w:t>
      </w:r>
      <w:r>
        <w:rPr>
          <w:rFonts w:hint="eastAsia" w:ascii="宋体" w:hAnsi="宋体" w:eastAsia="宋体" w:cs="宋体"/>
          <w:i w:val="0"/>
          <w:iCs w:val="0"/>
          <w:caps w:val="0"/>
          <w:color w:val="auto"/>
          <w:spacing w:val="0"/>
          <w:sz w:val="22"/>
          <w:szCs w:val="22"/>
          <w:highlight w:val="none"/>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工作内容</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在生长季节(4—10月),每月除杂草3次,非生长季节每月除杂草1—2次,要求连根拔除。</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修剪修边:草坪高度控制在5厘米以内,目的草坪高度一致,4</w:t>
      </w:r>
      <w:r>
        <w:rPr>
          <w:rFonts w:hint="eastAsia"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5月、8—9月沿侧石路牙各修边1次,将长出侧石路牙的草去掉。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填坑洼,平整草地:对因市政工程等各种原因遭到破坏的草坪,及时进行平整、填坑洼,对大面积坑洼不大的草坪,利用冬季保绿铺砂填平,以保持绿地平坦。</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补植</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对因市政工程、人为践踏、生长不良等造成的裸露地,及时密植草地并加强保护,保证其迅速长满。</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淋水</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施肥</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草地淋水主要安排在冬季少雨季节,1—2天淋水1次,每年10月份开始至翌年3月份结合淋水撒肥1次(肥料以复合肥、尿素为主)以保持良好的长势,度过进干旱的秋冬季,其他季节根据草地生长情况安排施肥</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检查项目</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草地完好率即草地覆盖率为98%以上,平整无裸露及无坑洼。</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杂草率低于3%,蟛蜞菊无杂草。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草坪长势旺盛,四季常绿。</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草坪高度:草坪植物高度控制在5厘米以内(其他地被植物除外),目的草坪高度一致,整齐美观。</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注意事项:草地管理标准是草坪生长旺盛,草坪整齐雅观,一年四季常绿,呈勃勃生机;无坑洼积水,无裸露地。</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2、花坛(小品)养护服务标准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工具配置:草剪、锄头、洞撬、洒水车等。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工作内容</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松土除杂草</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对于尚未郁闭的花坛,生长季节每月松土1次,除杂草2次,松土深度3</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5cm;非生长季节每月除杂草1次,为防止草坪长入花坛,影响植物生长,每年4</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5月和8</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9月在松土同时进行修边,修边宽度30cm,线条流畅。</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一般每年2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3月份重剪1次,保留30</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50cm,以促进侧枝发牙,以后每个月根据花坛养护标准进行修剪造型,中间高、两边低,中间高度根据品种不同而异,一般50</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80cm,形成曲面并有较好的园林美化效果。</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lang w:eastAsia="zh-CN"/>
        </w:rPr>
        <w:t>施肥</w:t>
      </w:r>
      <w:r>
        <w:rPr>
          <w:rFonts w:hint="eastAsia" w:ascii="宋体" w:hAnsi="宋体" w:eastAsia="宋体" w:cs="宋体"/>
          <w:i w:val="0"/>
          <w:iCs w:val="0"/>
          <w:caps w:val="0"/>
          <w:color w:val="auto"/>
          <w:spacing w:val="0"/>
          <w:sz w:val="22"/>
          <w:szCs w:val="22"/>
          <w:highlight w:val="none"/>
        </w:rPr>
        <w:t>: 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w:t>
      </w:r>
      <w:r>
        <w:rPr>
          <w:rFonts w:hint="eastAsia" w:ascii="宋体" w:hAnsi="宋体" w:eastAsia="宋体" w:cs="宋体"/>
          <w:i w:val="0"/>
          <w:iCs w:val="0"/>
          <w:caps w:val="0"/>
          <w:color w:val="auto"/>
          <w:spacing w:val="0"/>
          <w:sz w:val="22"/>
          <w:szCs w:val="22"/>
          <w:highlight w:val="none"/>
          <w:lang w:eastAsia="zh-CN"/>
        </w:rPr>
        <w:t>月份重剪这后以撒施基肥为主</w:t>
      </w:r>
      <w:r>
        <w:rPr>
          <w:rFonts w:hint="eastAsia" w:ascii="宋体" w:hAnsi="宋体" w:eastAsia="宋体" w:cs="宋体"/>
          <w:i w:val="0"/>
          <w:iCs w:val="0"/>
          <w:caps w:val="0"/>
          <w:color w:val="auto"/>
          <w:spacing w:val="0"/>
          <w:sz w:val="22"/>
          <w:szCs w:val="22"/>
          <w:highlight w:val="none"/>
        </w:rPr>
        <w:t xml:space="preserve"> ,</w:t>
      </w:r>
      <w:r>
        <w:rPr>
          <w:rFonts w:hint="eastAsia" w:ascii="宋体" w:hAnsi="宋体" w:eastAsia="宋体" w:cs="宋体"/>
          <w:i w:val="0"/>
          <w:iCs w:val="0"/>
          <w:caps w:val="0"/>
          <w:color w:val="auto"/>
          <w:spacing w:val="0"/>
          <w:sz w:val="22"/>
          <w:szCs w:val="22"/>
          <w:highlight w:val="none"/>
          <w:lang w:val="en-US" w:eastAsia="zh-CN"/>
        </w:rPr>
        <w:t>0.1-</w:t>
      </w:r>
      <w:r>
        <w:rPr>
          <w:rFonts w:hint="eastAsia" w:ascii="宋体" w:hAnsi="宋体" w:eastAsia="宋体" w:cs="宋体"/>
          <w:i w:val="0"/>
          <w:iCs w:val="0"/>
          <w:caps w:val="0"/>
          <w:color w:val="auto"/>
          <w:spacing w:val="0"/>
          <w:sz w:val="22"/>
          <w:szCs w:val="22"/>
          <w:highlight w:val="none"/>
        </w:rPr>
        <w:t>0.15kg</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以后根据生长情况用复合肥进行追肥,结合雨天洒施0.1—0.15kg/</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,晴天施肥方法以撒施为主。</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补植</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对因市政工程、人为践踏、养护不当等造成的死苗要及时补植,一般应补回原来品种,并力求规格与原来相近。</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淋水:补植后一个星期内每天淋水1次,施肥时加强淋水,一般情况下2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3天淋水1次。</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检查项目</w:t>
      </w:r>
      <w:r>
        <w:rPr>
          <w:rFonts w:hint="eastAsia"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花坛完整情况:有无缺株、残缺。</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生长情况:长势旺盛,无病虫害发生。</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修剪造型:要有一定的园林效果。</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开花:开花植物,开花准时、艳丽,花朵覆盖率50%以上。</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土壤:疏松,无杂草。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注意事项:生长旺盛,花繁叶茂,修剪精细美观,具有艺术感和创意。</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3、地被植物养护服务标准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工具配置:锄头、镰刀、喷雾、洒水车等。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工作内容:</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松土除杂草:4</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10月每个月松土除杂草1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2次,11月底次年3月份每个月除杂草、松土1次,并在4</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5月和8</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9月进行修边,修边宽度30cm,以防止草地长入</w:t>
      </w:r>
      <w:r>
        <w:rPr>
          <w:rFonts w:hint="eastAsia" w:cs="宋体"/>
          <w:i w:val="0"/>
          <w:iCs w:val="0"/>
          <w:caps w:val="0"/>
          <w:color w:val="auto"/>
          <w:spacing w:val="0"/>
          <w:sz w:val="22"/>
          <w:szCs w:val="22"/>
          <w:highlight w:val="none"/>
          <w:lang w:eastAsia="zh-CN"/>
        </w:rPr>
        <w:t>乔木内</w:t>
      </w:r>
      <w:r>
        <w:rPr>
          <w:rFonts w:hint="eastAsia" w:ascii="宋体" w:hAnsi="宋体" w:eastAsia="宋体" w:cs="宋体"/>
          <w:i w:val="0"/>
          <w:iCs w:val="0"/>
          <w:caps w:val="0"/>
          <w:color w:val="auto"/>
          <w:spacing w:val="0"/>
          <w:sz w:val="22"/>
          <w:szCs w:val="22"/>
          <w:highlight w:val="none"/>
        </w:rPr>
        <w:t>,影响地被植物生长。</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修剪:3</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5天修剪残花、清理枯枝1次,每年4</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5月和8</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9月间苗1次,施肥方法以撒施为主。</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施肥:2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3月份施基1次,0.1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0.15kg/</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,每个月追复合肥主。</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补植:对因市政工程、人为践踏、养护不当等造成的死苗要及时补植,一般应补回原来品种,并力求规格与原来相近。</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淋水:1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2天全面淋水1次,淋水深度3cm以上。</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病虫害防治:预防为主,生长季节(5</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10月)每月喷百菌清或托布津1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2次,并经常观察一旦发现病虫害,立即跟踪防治。</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检查项目:</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长势:生长良好,生机盎然。</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花覆盖率</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如:</w:t>
      </w:r>
      <w:r>
        <w:rPr>
          <w:rFonts w:hint="eastAsia" w:cs="宋体"/>
          <w:i w:val="0"/>
          <w:iCs w:val="0"/>
          <w:caps w:val="0"/>
          <w:color w:val="auto"/>
          <w:spacing w:val="0"/>
          <w:sz w:val="22"/>
          <w:szCs w:val="22"/>
          <w:highlight w:val="none"/>
          <w:lang w:eastAsia="zh-CN"/>
        </w:rPr>
        <w:t>栀子花</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开花覆盖率50%以上。</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无杂草,保持土壤疏松。</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4、绿篱养护服务标准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工具配置:草剪、锄头、手剪、绿篱机、洒水车等。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工作内容:</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松土除杂草:对于尚未郁闭的绿篱每月松土除杂草2次,已郁闭的绿篱每月除寄生藤2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3次,养护面松土除杂草1次,为防止草坪长入,5</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6月和8</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9月各修边1次,修边宽度30cm,修边一定要整齐,有美感。</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修剪整形:保持0.7</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0.8m高,上面平整、边角整齐、线条流畅,新稍10cm以上即须修剪,一般生长季节4</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10月每月修剪整形3次,非生长季节每月修剪2次,对勒杜鹃等开化植物10月份修剪,只进行轻度修剪,以保证开化。</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施肥:每月追复合肥1次,结合雨天进行,每年根据其长势和覆盖率情况适当施基肥1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2次,基肥0.5</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1kg/</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,复合0.1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0.15kg/</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,施肥方法以撒施为主。</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补植:对因市政工程</w:t>
      </w:r>
      <w:r>
        <w:rPr>
          <w:rFonts w:hint="eastAsia"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人为践踏、养护不当等造成的缺株出现绿篱断层,要及时补植,尽量用盆苗尽快封行。</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淋水:施肥和补植需加强淋水,补植后一个星期内每天淋水1次,一般冬季干旱季节安排2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3天淋水1次。</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检查项目</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长势:生长良好。</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完好率:无断层、缺株。</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修剪造型:上面平整、边角线棱角分明、有艺术美感。</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无杂草、寄生藤,绿篱内无垃圾和枯枝落叶堆积。</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生长良好</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修剪精细美观</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具有艺术感。</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注意事项:生长良好,修剪精细美观,具有艺术感。</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5、乔木养护服务标准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工具配置</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草剪、锄头、高枝剪、木梯、护树板、绑带、钳子</w:t>
      </w:r>
      <w:r>
        <w:rPr>
          <w:rFonts w:hint="eastAsia" w:ascii="宋体" w:hAnsi="宋体" w:eastAsia="宋体" w:cs="宋体"/>
          <w:i w:val="0"/>
          <w:iCs w:val="0"/>
          <w:caps w:val="0"/>
          <w:color w:val="auto"/>
          <w:spacing w:val="0"/>
          <w:sz w:val="22"/>
          <w:szCs w:val="22"/>
          <w:highlight w:val="none"/>
          <w:lang w:eastAsia="zh-CN"/>
        </w:rPr>
        <w:t>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工作内容</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修剪:从5月份开始,每月修剪1次</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主要修荫枝、下垂枝、干枯枝、侧缘线以及下缘线</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下缘线高1.8</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2.5m</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开花植物应在花芽萌动前进行,乔木整形要与周围环境协调,以增强园林美化效果。</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val="en-US" w:eastAsia="zh-CN"/>
        </w:rPr>
      </w:pPr>
      <w:r>
        <w:rPr>
          <w:rFonts w:hint="eastAsia" w:ascii="宋体" w:hAnsi="宋体" w:eastAsia="宋体" w:cs="宋体"/>
          <w:i w:val="0"/>
          <w:iCs w:val="0"/>
          <w:caps w:val="0"/>
          <w:color w:val="auto"/>
          <w:spacing w:val="0"/>
          <w:sz w:val="22"/>
          <w:szCs w:val="22"/>
          <w:highlight w:val="none"/>
        </w:rPr>
        <w:t>施肥:一般在2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3月和8</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9月</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采用对角埋施,肥穴规格30cm*30cm*40cm</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施肥量根据树木种类和生长情况而定</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一般</w:t>
      </w:r>
      <w:r>
        <w:rPr>
          <w:rFonts w:hint="eastAsia" w:ascii="宋体" w:hAnsi="宋体" w:eastAsia="宋体" w:cs="宋体"/>
          <w:i w:val="0"/>
          <w:iCs w:val="0"/>
          <w:caps w:val="0"/>
          <w:color w:val="auto"/>
          <w:spacing w:val="0"/>
          <w:sz w:val="22"/>
          <w:szCs w:val="22"/>
          <w:highlight w:val="none"/>
          <w:lang w:val="en-US" w:eastAsia="zh-CN"/>
        </w:rPr>
        <w:t>2-</w:t>
      </w:r>
      <w:r>
        <w:rPr>
          <w:rFonts w:hint="eastAsia" w:ascii="宋体" w:hAnsi="宋体" w:eastAsia="宋体" w:cs="宋体"/>
          <w:i w:val="0"/>
          <w:iCs w:val="0"/>
          <w:caps w:val="0"/>
          <w:color w:val="auto"/>
          <w:spacing w:val="0"/>
          <w:sz w:val="22"/>
          <w:szCs w:val="22"/>
          <w:highlight w:val="none"/>
        </w:rPr>
        <w:t>3kg/株,施肥种类采用复合肥与花生麸等基肥相结合。</w:t>
      </w:r>
      <w:r>
        <w:rPr>
          <w:rFonts w:hint="eastAsia" w:ascii="宋体" w:hAnsi="宋体" w:eastAsia="宋体" w:cs="宋体"/>
          <w:i w:val="0"/>
          <w:iCs w:val="0"/>
          <w:caps w:val="0"/>
          <w:color w:val="auto"/>
          <w:spacing w:val="0"/>
          <w:sz w:val="22"/>
          <w:szCs w:val="22"/>
          <w:highlight w:val="none"/>
          <w:lang w:val="en-US" w:eastAsia="zh-CN"/>
        </w:rPr>
        <w:t xml:space="preserve"> </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补植:对因市政、病虫害、养护不当等原因造成死亡的树木,应及时清走</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补回与原有树种种类相同、规格基本一致的植株,并加强管理。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加护树桩(板)和绑带:对树桩(板)受到损坏或歪斜须及时进行扶正、加固或更换,同时每年将护树绑带放松1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2次,以防止橡皮带嵌入树皮内。</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松土、整理养护穴:新植乔木,根已经扎深可不留植穴并回填土(棕榈科植物除外)</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淋水:新植乔木及施肥时,要保证足够的水分。新补植乔,1周内每天淋水1次;棕榈科植物在冬季(11月到次年2月)须2天淋水1次。其他乔木冬季3</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5天淋水1次。</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检查项目</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乔木长势</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生长旺盛。</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保存率</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无缺株。</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修剪造型</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下缘线是否整齐,下垂枝、干枝有无修剪。</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养护设施</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护树桩(板)绑带是否整齐、完整。</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注意事项</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乔木管理标准是生长旺盛、枝叶健壮、树形美观、下缘线整齐、干直冠美、无死树缺树、景观效果好。</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6、病虫害防治服务标准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工具配置:普通喷雾器、自动喷雾器、量筒、器皿、车辆等。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工作内容</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以预防为主,定期做好喷药防治工作</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一般在病虫害发生季节4</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10月份,每月对易感植物喷药1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2次</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以喷百菌清、灭杀病威、托布津等为主</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阴香、刺桐等可用速杀丁、氧化乐果等。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经常观察绿地植物、病虫害情况</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,一旦发现立即跟踪防治</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喷药时须先诊断病虫害种类和危害程度</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然后对症下药</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进行跟踪观察</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对于灌木、草地一般用普通喷雾器</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对于乔木和垂直绿化用自动喷雾器。</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喷药如果效果不明显</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应立即更换不同的药物或加大浓度</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直至得到全面控制。</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检查项目</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危害程度</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最严重受害程度不超过8%</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未出现因病虫害造成的景观影响。</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树木虫屎不明显。</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注意事项</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喷药时须带ロ罩,做好安全生产。</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用完的农药必须清走。</w:t>
      </w:r>
    </w:p>
    <w:p>
      <w:pPr>
        <w:pStyle w:val="25"/>
        <w:keepNext w:val="0"/>
        <w:keepLines w:val="0"/>
        <w:pageBreakBefore w:val="0"/>
        <w:widowControl/>
        <w:numPr>
          <w:ilvl w:val="0"/>
          <w:numId w:val="6"/>
        </w:numPr>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绿地保洁服务标准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工具配置:小铁锹、垃圾袋、竹耙等。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工作内容:</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每天上午8:30,下午2:30之前将纸屑、垃圾、杂物等全部清出绿地。</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养护垃圾每天下班前自行清运,进行全天候巡回保洁。</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经常清理绿地石头、杂物,特别是边角杂物要经常进行清理。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绿化垃圾由养护方负责清运。</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检查项目</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每天上午8:30,下午2:30以后绿地中垃圾数量。</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养护垃圾堆放及当天清运情况。</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边角是否有垃圾杂物堆放。</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绿地石头垃圾清理情况。</w:t>
      </w:r>
    </w:p>
    <w:p>
      <w:pPr>
        <w:pStyle w:val="44"/>
        <w:snapToGrid w:val="0"/>
        <w:spacing w:line="240" w:lineRule="auto"/>
        <w:rPr>
          <w:rFonts w:hAnsi="宋体" w:eastAsia="宋体" w:cs="宋体"/>
          <w:b/>
          <w:color w:val="auto"/>
          <w:sz w:val="28"/>
          <w:szCs w:val="28"/>
          <w:highlight w:val="none"/>
        </w:rPr>
      </w:pPr>
      <w:r>
        <w:rPr>
          <w:rFonts w:hint="eastAsia" w:hAnsi="宋体" w:eastAsia="宋体" w:cs="宋体"/>
          <w:b/>
          <w:color w:val="auto"/>
          <w:sz w:val="28"/>
          <w:szCs w:val="28"/>
          <w:highlight w:val="none"/>
          <w:lang w:val="en-US" w:eastAsia="zh-CN"/>
        </w:rPr>
        <w:t>2、</w:t>
      </w:r>
      <w:r>
        <w:rPr>
          <w:rFonts w:hint="eastAsia" w:hAnsi="宋体" w:eastAsia="宋体" w:cs="宋体"/>
          <w:b/>
          <w:color w:val="auto"/>
          <w:sz w:val="28"/>
          <w:szCs w:val="28"/>
          <w:highlight w:val="none"/>
        </w:rPr>
        <w:t>项目品名：</w:t>
      </w:r>
      <w:r>
        <w:rPr>
          <w:rFonts w:hint="eastAsia" w:hAnsi="宋体" w:eastAsia="宋体" w:cs="宋体"/>
          <w:b/>
          <w:color w:val="auto"/>
          <w:sz w:val="28"/>
          <w:szCs w:val="28"/>
          <w:highlight w:val="none"/>
          <w:lang w:val="en-US" w:eastAsia="zh-CN"/>
        </w:rPr>
        <w:t>四川东辰仙海物业服务有限公司</w:t>
      </w:r>
      <w:r>
        <w:rPr>
          <w:rFonts w:hint="eastAsia" w:hAnsi="宋体" w:eastAsia="宋体" w:cs="宋体"/>
          <w:b/>
          <w:color w:val="auto"/>
          <w:sz w:val="28"/>
          <w:szCs w:val="28"/>
          <w:highlight w:val="none"/>
        </w:rPr>
        <w:t>-</w:t>
      </w:r>
      <w:r>
        <w:rPr>
          <w:rFonts w:hint="eastAsia" w:hAnsi="宋体" w:eastAsia="宋体" w:cs="宋体"/>
          <w:b/>
          <w:color w:val="auto"/>
          <w:sz w:val="28"/>
          <w:szCs w:val="28"/>
          <w:highlight w:val="none"/>
          <w:lang w:eastAsia="zh-CN"/>
        </w:rPr>
        <w:t>保洁、</w:t>
      </w:r>
      <w:r>
        <w:rPr>
          <w:rFonts w:hint="eastAsia" w:hAnsi="宋体" w:eastAsia="宋体" w:cs="宋体"/>
          <w:b/>
          <w:color w:val="auto"/>
          <w:sz w:val="28"/>
          <w:szCs w:val="28"/>
          <w:highlight w:val="none"/>
          <w:lang w:val="en-US" w:eastAsia="zh-CN"/>
        </w:rPr>
        <w:t>绿化</w:t>
      </w:r>
      <w:r>
        <w:rPr>
          <w:rFonts w:hint="eastAsia" w:hAnsi="宋体" w:eastAsia="宋体" w:cs="宋体"/>
          <w:b/>
          <w:color w:val="auto"/>
          <w:sz w:val="28"/>
          <w:szCs w:val="28"/>
          <w:highlight w:val="none"/>
        </w:rPr>
        <w:t>服务</w:t>
      </w:r>
    </w:p>
    <w:p>
      <w:pPr>
        <w:tabs>
          <w:tab w:val="left" w:pos="7740"/>
        </w:tabs>
        <w:spacing w:line="240" w:lineRule="auto"/>
        <w:ind w:right="0" w:firstLine="480" w:firstLineChars="200"/>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zh-CN"/>
        </w:rPr>
        <w:t>物业地址：</w:t>
      </w:r>
      <w:r>
        <w:rPr>
          <w:rFonts w:hint="eastAsia" w:asciiTheme="minorEastAsia" w:hAnsiTheme="minorEastAsia" w:eastAsiaTheme="minorEastAsia" w:cstheme="minorEastAsia"/>
          <w:color w:val="auto"/>
          <w:sz w:val="24"/>
          <w:szCs w:val="24"/>
          <w:highlight w:val="none"/>
          <w:lang w:val="en-US" w:eastAsia="zh-CN"/>
        </w:rPr>
        <w:t>东辰仙海院子</w:t>
      </w:r>
    </w:p>
    <w:p>
      <w:pPr>
        <w:tabs>
          <w:tab w:val="left" w:pos="7740"/>
        </w:tabs>
        <w:spacing w:line="240" w:lineRule="auto"/>
        <w:ind w:right="0" w:firstLine="480" w:firstLineChars="200"/>
        <w:rPr>
          <w:rFonts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zh-CN"/>
        </w:rPr>
        <w:t>服务面积：</w:t>
      </w: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万</w:t>
      </w:r>
      <w:r>
        <w:rPr>
          <w:rFonts w:hint="eastAsia" w:asciiTheme="minorEastAsia" w:hAnsiTheme="minorEastAsia" w:eastAsiaTheme="minorEastAsia" w:cstheme="minorEastAsia"/>
          <w:color w:val="auto"/>
          <w:sz w:val="24"/>
          <w:szCs w:val="24"/>
          <w:highlight w:val="none"/>
          <w:lang w:val="zh-CN"/>
        </w:rPr>
        <w:t>平方米左右</w:t>
      </w:r>
    </w:p>
    <w:p>
      <w:pPr>
        <w:pStyle w:val="8"/>
        <w:spacing w:line="240" w:lineRule="auto"/>
        <w:ind w:left="0" w:leftChars="0" w:right="0" w:firstLine="480" w:firstLineChars="200"/>
        <w:rPr>
          <w:rFonts w:ascii="宋体" w:hAnsi="宋体" w:eastAsia="宋体" w:cs="宋体"/>
          <w:color w:val="auto"/>
          <w:sz w:val="24"/>
          <w:szCs w:val="24"/>
          <w:highlight w:val="none"/>
          <w:lang w:val="zh-CN"/>
        </w:rPr>
      </w:pP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lang w:val="en-US" w:eastAsia="zh-CN"/>
        </w:rPr>
        <w:t>保洁</w:t>
      </w:r>
      <w:r>
        <w:rPr>
          <w:rFonts w:hint="eastAsia" w:ascii="宋体" w:hAnsi="宋体" w:eastAsia="宋体" w:cs="宋体"/>
          <w:color w:val="auto"/>
          <w:sz w:val="24"/>
          <w:szCs w:val="24"/>
          <w:highlight w:val="none"/>
          <w:lang w:val="zh-CN"/>
        </w:rPr>
        <w:t>服务内容及标准：</w:t>
      </w:r>
    </w:p>
    <w:p>
      <w:pPr>
        <w:numPr>
          <w:ilvl w:val="0"/>
          <w:numId w:val="0"/>
        </w:numPr>
        <w:jc w:val="both"/>
        <w:rPr>
          <w:rFonts w:hint="default" w:eastAsiaTheme="minorEastAsia"/>
          <w:b/>
          <w:bCs/>
          <w:color w:val="auto"/>
          <w:sz w:val="22"/>
          <w:szCs w:val="22"/>
          <w:highlight w:val="none"/>
          <w:lang w:val="en-US" w:eastAsia="zh-CN"/>
        </w:rPr>
      </w:pPr>
      <w:r>
        <w:rPr>
          <w:rFonts w:hint="eastAsia" w:ascii="宋体" w:hAnsi="宋体" w:cs="宋体"/>
          <w:b/>
          <w:bCs/>
          <w:color w:val="auto"/>
          <w:sz w:val="22"/>
          <w:szCs w:val="22"/>
          <w:highlight w:val="none"/>
          <w:lang w:val="en-US" w:eastAsia="zh-CN"/>
        </w:rPr>
        <w:t>1、</w:t>
      </w:r>
      <w:r>
        <w:rPr>
          <w:rFonts w:hint="eastAsia" w:hAnsi="宋体" w:cs="宋体"/>
          <w:b/>
          <w:bCs/>
          <w:color w:val="auto"/>
          <w:sz w:val="22"/>
          <w:szCs w:val="22"/>
          <w:highlight w:val="none"/>
          <w:lang w:val="en-US" w:eastAsia="zh-CN"/>
        </w:rPr>
        <w:t>外围</w:t>
      </w:r>
    </w:p>
    <w:tbl>
      <w:tblPr>
        <w:tblStyle w:val="31"/>
        <w:tblpPr w:leftFromText="180" w:rightFromText="180" w:vertAnchor="text" w:horzAnchor="page" w:tblpX="1229" w:tblpY="108"/>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721"/>
        <w:gridCol w:w="4157"/>
        <w:gridCol w:w="42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25" w:hRule="atLeast"/>
        </w:trPr>
        <w:tc>
          <w:tcPr>
            <w:tcW w:w="1721"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Style w:val="34"/>
                <w:rFonts w:hint="eastAsia" w:ascii="宋体" w:hAnsi="宋体" w:eastAsia="宋体" w:cs="宋体"/>
                <w:color w:val="auto"/>
                <w:sz w:val="22"/>
                <w:szCs w:val="22"/>
                <w:highlight w:val="none"/>
              </w:rPr>
              <w:t>位置</w:t>
            </w:r>
          </w:p>
        </w:tc>
        <w:tc>
          <w:tcPr>
            <w:tcW w:w="4157"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Style w:val="34"/>
                <w:rFonts w:hint="eastAsia" w:ascii="宋体" w:hAnsi="宋体" w:eastAsia="宋体" w:cs="宋体"/>
                <w:color w:val="auto"/>
                <w:sz w:val="22"/>
                <w:szCs w:val="22"/>
                <w:highlight w:val="none"/>
              </w:rPr>
              <w:t>质量标准</w:t>
            </w:r>
          </w:p>
        </w:tc>
        <w:tc>
          <w:tcPr>
            <w:tcW w:w="4277"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Style w:val="34"/>
                <w:rFonts w:hint="eastAsia" w:ascii="宋体" w:hAnsi="宋体" w:eastAsia="宋体" w:cs="宋体"/>
                <w:color w:val="auto"/>
                <w:sz w:val="22"/>
                <w:szCs w:val="22"/>
                <w:highlight w:val="none"/>
              </w:rPr>
              <w:t>工作频次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1560"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rPr>
              <w:t>道路</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auto"/>
                <w:highlight w:val="none"/>
              </w:rPr>
            </w:pPr>
            <w:r>
              <w:rPr>
                <w:rFonts w:hint="eastAsia" w:ascii="宋体" w:hAnsi="宋体" w:eastAsia="宋体" w:cs="宋体"/>
                <w:color w:val="auto"/>
                <w:sz w:val="22"/>
                <w:szCs w:val="22"/>
                <w:highlight w:val="none"/>
              </w:rPr>
              <w:t>无垃圾、无泥沙、无积水</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90" w:right="0"/>
              <w:rPr>
                <w:rFonts w:hint="eastAsia" w:eastAsia="宋体"/>
                <w:color w:val="auto"/>
                <w:highlight w:val="none"/>
                <w:lang w:eastAsia="zh-CN"/>
              </w:rPr>
            </w:pPr>
            <w:r>
              <w:rPr>
                <w:rFonts w:hint="eastAsia" w:ascii="宋体" w:hAnsi="宋体" w:eastAsia="宋体" w:cs="宋体"/>
                <w:color w:val="auto"/>
                <w:sz w:val="22"/>
                <w:szCs w:val="22"/>
                <w:highlight w:val="none"/>
              </w:rPr>
              <w:t>1、每日集中清扫二次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75" w:right="0"/>
              <w:rPr>
                <w:rFonts w:hint="eastAsia" w:eastAsia="宋体"/>
                <w:color w:val="auto"/>
                <w:highlight w:val="none"/>
                <w:lang w:eastAsia="zh-CN"/>
              </w:rPr>
            </w:pPr>
            <w:r>
              <w:rPr>
                <w:rFonts w:hint="eastAsia" w:ascii="宋体" w:hAnsi="宋体" w:eastAsia="宋体" w:cs="宋体"/>
                <w:color w:val="auto"/>
                <w:sz w:val="22"/>
                <w:szCs w:val="22"/>
                <w:highlight w:val="none"/>
              </w:rPr>
              <w:t>2、每</w:t>
            </w:r>
            <w:r>
              <w:rPr>
                <w:rFonts w:hint="eastAsia" w:ascii="宋体" w:hAnsi="宋体" w:eastAsia="宋体" w:cs="宋体"/>
                <w:color w:val="auto"/>
                <w:sz w:val="22"/>
                <w:szCs w:val="22"/>
                <w:highlight w:val="none"/>
                <w:lang w:eastAsia="zh-CN"/>
              </w:rPr>
              <w:t>月度</w:t>
            </w:r>
            <w:r>
              <w:rPr>
                <w:rFonts w:hint="eastAsia" w:ascii="宋体" w:hAnsi="宋体" w:eastAsia="宋体" w:cs="宋体"/>
                <w:color w:val="auto"/>
                <w:sz w:val="22"/>
                <w:szCs w:val="22"/>
                <w:highlight w:val="none"/>
              </w:rPr>
              <w:t>冲洗一次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lang w:eastAsia="zh-CN"/>
              </w:rPr>
              <w:t>围栏、</w:t>
            </w:r>
            <w:r>
              <w:rPr>
                <w:rFonts w:hint="eastAsia" w:ascii="宋体" w:hAnsi="宋体" w:eastAsia="宋体" w:cs="宋体"/>
                <w:color w:val="auto"/>
                <w:sz w:val="22"/>
                <w:szCs w:val="22"/>
                <w:highlight w:val="none"/>
              </w:rPr>
              <w:t>灯箱、广告牌</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无污迹、无积尘、无蜘蛛网</w:t>
            </w:r>
            <w:r>
              <w:rPr>
                <w:rFonts w:hint="eastAsia" w:ascii="宋体" w:hAnsi="宋体" w:eastAsia="宋体" w:cs="宋体"/>
                <w:color w:val="auto"/>
                <w:sz w:val="22"/>
                <w:szCs w:val="22"/>
                <w:highlight w:val="none"/>
                <w:lang w:eastAsia="zh-CN"/>
              </w:rPr>
              <w:t>、无乱贴乱画</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lang w:eastAsia="zh-CN"/>
              </w:rPr>
              <w:t>每月度</w:t>
            </w:r>
            <w:r>
              <w:rPr>
                <w:rFonts w:hint="eastAsia" w:ascii="宋体" w:hAnsi="宋体" w:eastAsia="宋体" w:cs="宋体"/>
                <w:color w:val="auto"/>
                <w:sz w:val="22"/>
                <w:szCs w:val="22"/>
                <w:highlight w:val="none"/>
              </w:rPr>
              <w:t>擦拭一次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555"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lang w:eastAsia="zh-CN"/>
              </w:rPr>
              <w:t>休闲</w:t>
            </w:r>
            <w:r>
              <w:rPr>
                <w:rFonts w:hint="eastAsia" w:ascii="宋体" w:hAnsi="宋体" w:eastAsia="宋体" w:cs="宋体"/>
                <w:color w:val="auto"/>
                <w:sz w:val="22"/>
                <w:szCs w:val="22"/>
                <w:highlight w:val="none"/>
              </w:rPr>
              <w:t>坐椅</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无积尘</w:t>
            </w:r>
            <w:r>
              <w:rPr>
                <w:rFonts w:hint="eastAsia" w:ascii="宋体" w:hAnsi="宋体" w:eastAsia="宋体" w:cs="宋体"/>
                <w:color w:val="auto"/>
                <w:sz w:val="22"/>
                <w:szCs w:val="22"/>
                <w:highlight w:val="none"/>
                <w:lang w:eastAsia="zh-CN"/>
              </w:rPr>
              <w:t>、无积水</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150" w:right="0"/>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二</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擦拭；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rPr>
              <w:t>垃圾桶</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rPr>
              <w:t>无污痕、垃圾量</w:t>
            </w:r>
            <w:r>
              <w:rPr>
                <w:rFonts w:hint="eastAsia" w:ascii="宋体" w:hAnsi="宋体" w:eastAsia="宋体" w:cs="宋体"/>
                <w:color w:val="auto"/>
                <w:sz w:val="22"/>
                <w:szCs w:val="22"/>
                <w:highlight w:val="none"/>
                <w:lang w:eastAsia="zh-CN"/>
              </w:rPr>
              <w:t>不得溢桶</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color w:val="auto"/>
                <w:highlight w:val="none"/>
              </w:rPr>
            </w:pPr>
            <w:r>
              <w:rPr>
                <w:color w:val="auto"/>
                <w:sz w:val="22"/>
                <w:szCs w:val="22"/>
                <w:highlight w:val="none"/>
              </w:rPr>
              <w:t>1、 每日</w:t>
            </w:r>
            <w:r>
              <w:rPr>
                <w:rFonts w:hint="eastAsia"/>
                <w:color w:val="auto"/>
                <w:sz w:val="22"/>
                <w:szCs w:val="22"/>
                <w:highlight w:val="none"/>
                <w:lang w:eastAsia="zh-CN"/>
              </w:rPr>
              <w:t>二</w:t>
            </w:r>
            <w:r>
              <w:rPr>
                <w:color w:val="auto"/>
                <w:sz w:val="22"/>
                <w:szCs w:val="22"/>
                <w:highlight w:val="none"/>
              </w:rPr>
              <w:t>次</w:t>
            </w:r>
            <w:r>
              <w:rPr>
                <w:rFonts w:hint="eastAsia"/>
                <w:color w:val="auto"/>
                <w:sz w:val="22"/>
                <w:szCs w:val="22"/>
                <w:highlight w:val="none"/>
                <w:lang w:eastAsia="zh-CN"/>
              </w:rPr>
              <w:t>清运（视情况增加次数）；</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rFonts w:hint="eastAsia" w:eastAsiaTheme="minorEastAsia"/>
                <w:color w:val="auto"/>
                <w:highlight w:val="none"/>
                <w:lang w:eastAsia="zh-CN"/>
              </w:rPr>
            </w:pPr>
            <w:r>
              <w:rPr>
                <w:color w:val="auto"/>
                <w:sz w:val="22"/>
                <w:szCs w:val="22"/>
                <w:highlight w:val="none"/>
              </w:rPr>
              <w:t>2、 </w:t>
            </w:r>
            <w:r>
              <w:rPr>
                <w:rFonts w:hint="eastAsia"/>
                <w:color w:val="auto"/>
                <w:sz w:val="22"/>
                <w:szCs w:val="22"/>
                <w:highlight w:val="none"/>
                <w:lang w:eastAsia="zh-CN"/>
              </w:rPr>
              <w:t>每周</w:t>
            </w:r>
            <w:r>
              <w:rPr>
                <w:color w:val="auto"/>
                <w:sz w:val="22"/>
                <w:szCs w:val="22"/>
                <w:highlight w:val="none"/>
              </w:rPr>
              <w:t>冲洗消毒（含内胆）一次</w:t>
            </w:r>
            <w:r>
              <w:rPr>
                <w:rFonts w:hint="eastAsia"/>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PVC管(底楼2m以下)</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660" w:firstLineChars="300"/>
              <w:jc w:val="both"/>
              <w:rPr>
                <w:color w:val="auto"/>
                <w:highlight w:val="none"/>
              </w:rPr>
            </w:pPr>
            <w:r>
              <w:rPr>
                <w:rFonts w:hint="eastAsia" w:ascii="宋体" w:hAnsi="宋体" w:eastAsia="宋体" w:cs="宋体"/>
                <w:color w:val="auto"/>
                <w:sz w:val="22"/>
                <w:szCs w:val="22"/>
                <w:highlight w:val="none"/>
              </w:rPr>
              <w:t>无污痕、无积尘</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eastAsia="宋体"/>
                <w:color w:val="auto"/>
                <w:highlight w:val="none"/>
                <w:lang w:eastAsia="zh-CN"/>
              </w:rPr>
            </w:pPr>
            <w:r>
              <w:rPr>
                <w:rFonts w:hint="eastAsia" w:ascii="宋体" w:hAnsi="宋体" w:eastAsia="宋体" w:cs="宋体"/>
                <w:color w:val="auto"/>
                <w:sz w:val="22"/>
                <w:szCs w:val="22"/>
                <w:highlight w:val="none"/>
                <w:lang w:eastAsia="zh-CN"/>
              </w:rPr>
              <w:t>每季度清理一次；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765"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2米以下外墙面</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无污迹、无积尘、无蛛网、无无关粘贴物</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eastAsia="宋体"/>
                <w:color w:val="auto"/>
                <w:highlight w:val="none"/>
                <w:lang w:eastAsia="zh-CN"/>
              </w:rPr>
            </w:pPr>
            <w:r>
              <w:rPr>
                <w:rFonts w:hint="eastAsia" w:ascii="宋体" w:hAnsi="宋体" w:eastAsia="宋体" w:cs="宋体"/>
                <w:color w:val="auto"/>
                <w:sz w:val="22"/>
                <w:szCs w:val="22"/>
                <w:highlight w:val="none"/>
                <w:lang w:eastAsia="zh-CN"/>
              </w:rPr>
              <w:t>每季度清理一次；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40"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花盆、花槽、花台</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无污迹、盆内无异物、杂草、槽壁无青苔</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color w:val="auto"/>
                <w:highlight w:val="none"/>
              </w:rPr>
            </w:pPr>
            <w:r>
              <w:rPr>
                <w:rFonts w:hint="eastAsia" w:ascii="宋体" w:hAnsi="宋体" w:eastAsia="宋体" w:cs="宋体"/>
                <w:color w:val="auto"/>
                <w:sz w:val="22"/>
                <w:szCs w:val="22"/>
                <w:highlight w:val="none"/>
              </w:rPr>
              <w:t>1、每</w:t>
            </w:r>
            <w:r>
              <w:rPr>
                <w:rFonts w:hint="eastAsia" w:ascii="宋体" w:hAnsi="宋体" w:eastAsia="宋体" w:cs="宋体"/>
                <w:color w:val="auto"/>
                <w:sz w:val="22"/>
                <w:szCs w:val="22"/>
                <w:highlight w:val="none"/>
                <w:lang w:eastAsia="zh-CN"/>
              </w:rPr>
              <w:t>天打扫一次；</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eastAsia="宋体"/>
                <w:color w:val="auto"/>
                <w:highlight w:val="none"/>
                <w:lang w:eastAsia="zh-CN"/>
              </w:rPr>
            </w:pPr>
            <w:r>
              <w:rPr>
                <w:rFonts w:hint="eastAsia" w:ascii="宋体" w:hAnsi="宋体" w:eastAsia="宋体" w:cs="宋体"/>
                <w:color w:val="auto"/>
                <w:sz w:val="22"/>
                <w:szCs w:val="22"/>
                <w:highlight w:val="none"/>
              </w:rPr>
              <w:t>2、青苔处理</w:t>
            </w:r>
            <w:r>
              <w:rPr>
                <w:rFonts w:hint="eastAsia" w:ascii="宋体" w:hAnsi="宋体" w:eastAsia="宋体" w:cs="宋体"/>
                <w:color w:val="auto"/>
                <w:sz w:val="22"/>
                <w:szCs w:val="22"/>
                <w:highlight w:val="none"/>
                <w:lang w:eastAsia="zh-CN"/>
              </w:rPr>
              <w:t>每周一次；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55"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喷水池</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台面整洁、池中无异物、无异味、池底无淤泥、设施洁净</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eastAsia="宋体"/>
                <w:color w:val="auto"/>
                <w:highlight w:val="none"/>
                <w:lang w:eastAsia="zh-CN"/>
              </w:rPr>
            </w:pPr>
            <w:r>
              <w:rPr>
                <w:rFonts w:hint="eastAsia" w:ascii="宋体" w:hAnsi="宋体" w:eastAsia="宋体" w:cs="宋体"/>
                <w:color w:val="auto"/>
                <w:sz w:val="22"/>
                <w:szCs w:val="22"/>
                <w:highlight w:val="none"/>
              </w:rPr>
              <w:t>1、每日</w:t>
            </w:r>
            <w:r>
              <w:rPr>
                <w:rFonts w:hint="eastAsia" w:ascii="宋体" w:hAnsi="宋体" w:eastAsia="宋体" w:cs="宋体"/>
                <w:color w:val="auto"/>
                <w:sz w:val="22"/>
                <w:szCs w:val="22"/>
                <w:highlight w:val="none"/>
                <w:lang w:eastAsia="zh-CN"/>
              </w:rPr>
              <w:t>打捞二</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eastAsia="宋体"/>
                <w:color w:val="auto"/>
                <w:highlight w:val="none"/>
                <w:lang w:eastAsia="zh-CN"/>
              </w:rPr>
            </w:pPr>
            <w:r>
              <w:rPr>
                <w:rFonts w:hint="eastAsia" w:ascii="宋体" w:hAnsi="宋体" w:eastAsia="宋体" w:cs="宋体"/>
                <w:color w:val="auto"/>
                <w:sz w:val="22"/>
                <w:szCs w:val="22"/>
                <w:highlight w:val="none"/>
              </w:rPr>
              <w:t>2、</w:t>
            </w:r>
            <w:r>
              <w:rPr>
                <w:rFonts w:hint="eastAsia" w:ascii="宋体" w:hAnsi="宋体" w:eastAsia="宋体" w:cs="宋体"/>
                <w:color w:val="auto"/>
                <w:sz w:val="22"/>
                <w:szCs w:val="22"/>
                <w:highlight w:val="none"/>
                <w:lang w:eastAsia="zh-CN"/>
              </w:rPr>
              <w:t>每月清洗、换水一次；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55"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水景观</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无杂物、无异味、无淤泥</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每日打捞二次；</w:t>
            </w:r>
          </w:p>
          <w:p>
            <w:pPr>
              <w:pStyle w:val="26"/>
              <w:keepNext w:val="0"/>
              <w:keepLines w:val="0"/>
              <w:widowControl/>
              <w:numPr>
                <w:ilvl w:val="0"/>
                <w:numId w:val="5"/>
              </w:numPr>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每年清理、换水一次；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10" w:hRule="atLeast"/>
        </w:trPr>
        <w:tc>
          <w:tcPr>
            <w:tcW w:w="1721" w:type="dxa"/>
            <w:tcBorders>
              <w:top w:val="nil"/>
              <w:left w:val="single" w:color="auto" w:sz="6" w:space="0"/>
              <w:bottom w:val="nil"/>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路灯</w:t>
            </w:r>
          </w:p>
        </w:tc>
        <w:tc>
          <w:tcPr>
            <w:tcW w:w="4157" w:type="dxa"/>
            <w:tcBorders>
              <w:top w:val="nil"/>
              <w:left w:val="nil"/>
              <w:bottom w:val="nil"/>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无蛛网、无虫迹、无粘贴物</w:t>
            </w:r>
          </w:p>
        </w:tc>
        <w:tc>
          <w:tcPr>
            <w:tcW w:w="4277" w:type="dxa"/>
            <w:tcBorders>
              <w:top w:val="nil"/>
              <w:left w:val="nil"/>
              <w:bottom w:val="nil"/>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月</w:t>
            </w:r>
            <w:r>
              <w:rPr>
                <w:rFonts w:hint="eastAsia" w:ascii="宋体" w:hAnsi="宋体" w:eastAsia="宋体" w:cs="宋体"/>
                <w:color w:val="auto"/>
                <w:sz w:val="22"/>
                <w:szCs w:val="22"/>
                <w:highlight w:val="none"/>
              </w:rPr>
              <w:t>擦抹一次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10" w:hRule="atLeast"/>
        </w:trPr>
        <w:tc>
          <w:tcPr>
            <w:tcW w:w="172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绿化带</w:t>
            </w:r>
          </w:p>
        </w:tc>
        <w:tc>
          <w:tcPr>
            <w:tcW w:w="415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无白色垃圾、杂物、堆积落叶</w:t>
            </w:r>
          </w:p>
        </w:tc>
        <w:tc>
          <w:tcPr>
            <w:tcW w:w="427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eastAsia="宋体"/>
                <w:color w:val="auto"/>
                <w:highlight w:val="none"/>
                <w:lang w:eastAsia="zh-CN"/>
              </w:rPr>
              <w:t>每两天清理一次，特殊时期，每天一次；</w:t>
            </w:r>
          </w:p>
        </w:tc>
      </w:tr>
    </w:tbl>
    <w:tbl>
      <w:tblPr>
        <w:tblStyle w:val="31"/>
        <w:tblpPr w:leftFromText="180" w:rightFromText="180" w:vertAnchor="text" w:horzAnchor="page" w:tblpX="1229" w:tblpY="557"/>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703"/>
        <w:gridCol w:w="4185"/>
        <w:gridCol w:w="42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60" w:hRule="atLeast"/>
        </w:trPr>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标识</w:t>
            </w:r>
            <w:r>
              <w:rPr>
                <w:rFonts w:hint="eastAsia" w:ascii="宋体" w:hAnsi="宋体" w:eastAsia="宋体" w:cs="宋体"/>
                <w:color w:val="auto"/>
                <w:sz w:val="22"/>
                <w:szCs w:val="22"/>
                <w:highlight w:val="none"/>
                <w:lang w:eastAsia="zh-CN"/>
              </w:rPr>
              <w:t>标</w:t>
            </w:r>
            <w:r>
              <w:rPr>
                <w:rFonts w:hint="eastAsia" w:ascii="宋体" w:hAnsi="宋体" w:eastAsia="宋体" w:cs="宋体"/>
                <w:color w:val="auto"/>
                <w:sz w:val="22"/>
                <w:szCs w:val="22"/>
                <w:highlight w:val="none"/>
              </w:rPr>
              <w:t>牌</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无污迹、无积尘</w:t>
            </w:r>
            <w:r>
              <w:rPr>
                <w:rFonts w:hint="eastAsia" w:ascii="宋体" w:hAnsi="宋体" w:eastAsia="宋体" w:cs="宋体"/>
                <w:color w:val="auto"/>
                <w:sz w:val="22"/>
                <w:szCs w:val="22"/>
                <w:highlight w:val="none"/>
                <w:lang w:eastAsia="zh-CN"/>
              </w:rPr>
              <w:t>、无无关粘贴物</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val="en-US"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月度擦拭一次；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rPr>
              <w:t>防鼠网</w:t>
            </w:r>
            <w:r>
              <w:rPr>
                <w:rFonts w:hint="eastAsia" w:ascii="宋体" w:hAnsi="宋体" w:eastAsia="宋体" w:cs="宋体"/>
                <w:color w:val="auto"/>
                <w:sz w:val="22"/>
                <w:szCs w:val="22"/>
                <w:highlight w:val="none"/>
                <w:lang w:eastAsia="zh-CN"/>
              </w:rPr>
              <w:t>（水箅子）</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无果屑、烟头等垃圾、无蛛网</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180" w:firstLineChars="100"/>
              <w:rPr>
                <w:rFonts w:hint="eastAsia" w:eastAsia="宋体"/>
                <w:color w:val="auto"/>
                <w:highlight w:val="none"/>
                <w:lang w:eastAsia="zh-CN"/>
              </w:rPr>
            </w:pPr>
            <w:r>
              <w:rPr>
                <w:rFonts w:hint="eastAsia" w:eastAsia="宋体"/>
                <w:color w:val="auto"/>
                <w:highlight w:val="none"/>
                <w:lang w:eastAsia="zh-CN"/>
              </w:rPr>
              <w:t>每日一次清理；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rPr>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遮阳伞</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无明显污迹、无积尘</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月度清理一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草坪灯具</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无污迹、锈迹、无蛛网、无积尘</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月度擦拭一次；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rPr>
              <w:t>网球场</w:t>
            </w:r>
            <w:r>
              <w:rPr>
                <w:rFonts w:hint="eastAsia" w:ascii="宋体" w:hAnsi="宋体" w:eastAsia="宋体" w:cs="宋体"/>
                <w:color w:val="auto"/>
                <w:sz w:val="22"/>
                <w:szCs w:val="22"/>
                <w:highlight w:val="none"/>
                <w:lang w:eastAsia="zh-CN"/>
              </w:rPr>
              <w:t>、篮球场</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无垃圾、无积水、无污迹、无积尘、无蛛网</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拖洗一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，雨后即拖；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25" w:hRule="atLeast"/>
        </w:trPr>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游乐设施</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无垃圾、无污迹、无积尘、无蛛网</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擦拭一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每月</w:t>
            </w:r>
            <w:r>
              <w:rPr>
                <w:rFonts w:hint="eastAsia" w:ascii="宋体" w:hAnsi="宋体" w:eastAsia="宋体" w:cs="宋体"/>
                <w:color w:val="auto"/>
                <w:sz w:val="22"/>
                <w:szCs w:val="22"/>
                <w:highlight w:val="none"/>
                <w:lang w:eastAsia="zh-CN"/>
              </w:rPr>
              <w:t>消毒</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5" w:hRule="atLeast"/>
        </w:trPr>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道闸系统</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无水渍、无积尘、无污迹</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擦拭一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雨后即擦</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5" w:hRule="atLeast"/>
        </w:trPr>
        <w:tc>
          <w:tcPr>
            <w:tcW w:w="170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岗亭</w:t>
            </w:r>
          </w:p>
        </w:tc>
        <w:tc>
          <w:tcPr>
            <w:tcW w:w="4185"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无污痕、无积尘、无蛛网</w:t>
            </w:r>
          </w:p>
        </w:tc>
        <w:tc>
          <w:tcPr>
            <w:tcW w:w="4267"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周冲洗二</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eastAsiaTheme="minorEastAsia"/>
          <w:b/>
          <w:bCs/>
          <w:color w:val="auto"/>
          <w:sz w:val="22"/>
          <w:szCs w:val="22"/>
          <w:highlight w:val="none"/>
          <w:lang w:val="en-US" w:eastAsia="zh-CN"/>
        </w:rPr>
      </w:pPr>
      <w:r>
        <w:rPr>
          <w:rFonts w:hint="eastAsia"/>
          <w:b/>
          <w:bCs/>
          <w:color w:val="auto"/>
          <w:sz w:val="22"/>
          <w:szCs w:val="22"/>
          <w:highlight w:val="none"/>
          <w:lang w:val="en-US" w:eastAsia="zh-CN"/>
        </w:rPr>
        <w:t>2、楼道</w:t>
      </w:r>
    </w:p>
    <w:tbl>
      <w:tblPr>
        <w:tblStyle w:val="31"/>
        <w:tblpPr w:leftFromText="180" w:rightFromText="180" w:vertAnchor="text" w:horzAnchor="page" w:tblpX="1349" w:tblpY="257"/>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806"/>
        <w:gridCol w:w="3791"/>
        <w:gridCol w:w="45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0" w:hRule="atLeast"/>
        </w:trPr>
        <w:tc>
          <w:tcPr>
            <w:tcW w:w="1806"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150"/>
              <w:jc w:val="center"/>
              <w:rPr>
                <w:color w:val="auto"/>
                <w:highlight w:val="none"/>
              </w:rPr>
            </w:pPr>
            <w:r>
              <w:rPr>
                <w:rStyle w:val="34"/>
                <w:rFonts w:hint="eastAsia" w:ascii="宋体" w:hAnsi="宋体" w:eastAsia="宋体" w:cs="宋体"/>
                <w:color w:val="auto"/>
                <w:sz w:val="22"/>
                <w:szCs w:val="22"/>
                <w:highlight w:val="none"/>
              </w:rPr>
              <w:t>位置</w:t>
            </w:r>
          </w:p>
        </w:tc>
        <w:tc>
          <w:tcPr>
            <w:tcW w:w="3791"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390" w:right="0"/>
              <w:jc w:val="center"/>
              <w:rPr>
                <w:color w:val="auto"/>
                <w:highlight w:val="none"/>
              </w:rPr>
            </w:pPr>
            <w:r>
              <w:rPr>
                <w:rStyle w:val="34"/>
                <w:rFonts w:hint="eastAsia" w:ascii="宋体" w:hAnsi="宋体" w:eastAsia="宋体" w:cs="宋体"/>
                <w:color w:val="auto"/>
                <w:sz w:val="22"/>
                <w:szCs w:val="22"/>
                <w:highlight w:val="none"/>
              </w:rPr>
              <w:t>质量标准</w:t>
            </w:r>
          </w:p>
        </w:tc>
        <w:tc>
          <w:tcPr>
            <w:tcW w:w="4558"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150" w:right="0"/>
              <w:jc w:val="center"/>
              <w:rPr>
                <w:color w:val="auto"/>
                <w:highlight w:val="none"/>
              </w:rPr>
            </w:pPr>
            <w:r>
              <w:rPr>
                <w:rStyle w:val="34"/>
                <w:rFonts w:hint="eastAsia" w:ascii="宋体" w:hAnsi="宋体" w:eastAsia="宋体" w:cs="宋体"/>
                <w:color w:val="auto"/>
                <w:sz w:val="22"/>
                <w:szCs w:val="22"/>
                <w:highlight w:val="none"/>
              </w:rPr>
              <w:t>工作频次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人行楼梯</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无生活垃圾、无建筑垃圾、地面光</w:t>
            </w:r>
            <w:r>
              <w:rPr>
                <w:rFonts w:hint="eastAsia" w:ascii="宋体" w:hAnsi="宋体" w:eastAsia="宋体" w:cs="宋体"/>
                <w:color w:val="auto"/>
                <w:sz w:val="22"/>
                <w:szCs w:val="22"/>
                <w:highlight w:val="none"/>
                <w:lang w:eastAsia="zh-CN"/>
              </w:rPr>
              <w:t>洁</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left"/>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日打扫一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；每周拖洗二次；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rFonts w:hint="eastAsia" w:ascii="宋体" w:hAnsi="宋体" w:eastAsia="宋体" w:cs="宋体"/>
                <w:color w:val="auto"/>
                <w:kern w:val="0"/>
                <w:sz w:val="22"/>
                <w:szCs w:val="22"/>
                <w:highlight w:val="none"/>
                <w:lang w:val="en-US" w:eastAsia="zh-CN" w:bidi="ar"/>
              </w:rPr>
            </w:pPr>
            <w:r>
              <w:rPr>
                <w:rFonts w:hint="eastAsia" w:ascii="宋体" w:hAnsi="宋体" w:eastAsia="宋体" w:cs="宋体"/>
                <w:color w:val="auto"/>
                <w:kern w:val="0"/>
                <w:sz w:val="22"/>
                <w:szCs w:val="22"/>
                <w:highlight w:val="none"/>
                <w:lang w:val="en-US" w:eastAsia="zh-CN" w:bidi="ar"/>
              </w:rPr>
              <w:t>消防楼梯（电梯房）</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无生活垃圾、无建筑垃圾、地面光洁</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left"/>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eastAsia="zh-CN"/>
              </w:rPr>
              <w:t>每周打扫两次，每周拖洗一次；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80" w:hRule="atLeast"/>
        </w:trPr>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扶手</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firstLine="220" w:firstLineChars="100"/>
              <w:rPr>
                <w:color w:val="auto"/>
                <w:highlight w:val="none"/>
              </w:rPr>
            </w:pPr>
            <w:r>
              <w:rPr>
                <w:rFonts w:hint="eastAsia" w:ascii="宋体" w:hAnsi="宋体" w:eastAsia="宋体" w:cs="宋体"/>
                <w:color w:val="auto"/>
                <w:sz w:val="22"/>
                <w:szCs w:val="22"/>
                <w:highlight w:val="none"/>
              </w:rPr>
              <w:t>无灰尘</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日</w:t>
            </w:r>
            <w:r>
              <w:rPr>
                <w:rFonts w:hint="eastAsia" w:ascii="宋体" w:hAnsi="宋体" w:eastAsia="宋体" w:cs="宋体"/>
                <w:color w:val="auto"/>
                <w:sz w:val="22"/>
                <w:szCs w:val="22"/>
                <w:highlight w:val="none"/>
                <w:lang w:val="en-US" w:eastAsia="zh-CN"/>
              </w:rPr>
              <w:t>1</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擦拭；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百叶窗</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无灰尘</w:t>
            </w:r>
            <w:r>
              <w:rPr>
                <w:rFonts w:hint="eastAsia" w:ascii="宋体" w:hAnsi="宋体" w:eastAsia="宋体" w:cs="宋体"/>
                <w:color w:val="auto"/>
                <w:sz w:val="22"/>
                <w:szCs w:val="22"/>
                <w:highlight w:val="none"/>
                <w:lang w:eastAsia="zh-CN"/>
              </w:rPr>
              <w:t>、无蛛网、无无关粘贴物</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周一次擦拭；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0" w:hRule="atLeast"/>
        </w:trPr>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天花顶</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color w:val="auto"/>
                <w:highlight w:val="none"/>
              </w:rPr>
            </w:pPr>
            <w:r>
              <w:rPr>
                <w:rFonts w:hint="eastAsia" w:ascii="宋体" w:hAnsi="宋体" w:eastAsia="宋体" w:cs="宋体"/>
                <w:color w:val="auto"/>
                <w:sz w:val="22"/>
                <w:szCs w:val="22"/>
                <w:highlight w:val="none"/>
              </w:rPr>
              <w:t>无蛛网、无虫迹、无污迹</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日一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墙面</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Theme="minorEastAsia"/>
                <w:color w:val="auto"/>
                <w:sz w:val="22"/>
                <w:szCs w:val="22"/>
                <w:highlight w:val="none"/>
                <w:lang w:eastAsia="zh-CN"/>
              </w:rPr>
            </w:pPr>
            <w:r>
              <w:rPr>
                <w:rFonts w:hint="eastAsia"/>
                <w:color w:val="auto"/>
                <w:sz w:val="22"/>
                <w:szCs w:val="22"/>
                <w:highlight w:val="none"/>
                <w:lang w:eastAsia="zh-CN"/>
              </w:rPr>
              <w:t>无无关粘贴物</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Theme="minorEastAsia"/>
                <w:color w:val="auto"/>
                <w:sz w:val="22"/>
                <w:szCs w:val="22"/>
                <w:highlight w:val="none"/>
                <w:lang w:eastAsia="zh-CN"/>
              </w:rPr>
            </w:pPr>
            <w:r>
              <w:rPr>
                <w:rFonts w:hint="eastAsia"/>
                <w:color w:val="auto"/>
                <w:sz w:val="22"/>
                <w:szCs w:val="22"/>
                <w:highlight w:val="none"/>
                <w:lang w:eastAsia="zh-CN"/>
              </w:rPr>
              <w:t>每周三次清理；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单元门</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无污迹、无水痕、无积尘</w:t>
            </w:r>
            <w:r>
              <w:rPr>
                <w:rFonts w:hint="eastAsia" w:ascii="宋体" w:hAnsi="宋体" w:eastAsia="宋体" w:cs="宋体"/>
                <w:color w:val="auto"/>
                <w:sz w:val="22"/>
                <w:szCs w:val="22"/>
                <w:highlight w:val="none"/>
                <w:lang w:eastAsia="zh-CN"/>
              </w:rPr>
              <w:t>、无无关粘贴物</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日擦拭一</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50" w:hRule="atLeast"/>
        </w:trPr>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rFonts w:hint="eastAsia" w:eastAsiaTheme="minorEastAsia"/>
                <w:color w:val="auto"/>
                <w:sz w:val="22"/>
                <w:szCs w:val="22"/>
                <w:highlight w:val="none"/>
                <w:lang w:eastAsia="zh-CN"/>
              </w:rPr>
            </w:pPr>
            <w:r>
              <w:rPr>
                <w:rFonts w:hint="eastAsia"/>
                <w:color w:val="auto"/>
                <w:sz w:val="22"/>
                <w:szCs w:val="22"/>
                <w:highlight w:val="none"/>
                <w:lang w:eastAsia="zh-CN"/>
              </w:rPr>
              <w:t>通风窗</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无蛛网、无积尘</w:t>
            </w:r>
            <w:r>
              <w:rPr>
                <w:rFonts w:hint="eastAsia" w:ascii="宋体" w:hAnsi="宋体" w:eastAsia="宋体" w:cs="宋体"/>
                <w:color w:val="auto"/>
                <w:sz w:val="22"/>
                <w:szCs w:val="22"/>
                <w:highlight w:val="none"/>
                <w:lang w:eastAsia="zh-CN"/>
              </w:rPr>
              <w:t>、无乱贴乱画</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每周一次</w:t>
            </w:r>
            <w:r>
              <w:rPr>
                <w:rFonts w:hint="eastAsia" w:ascii="宋体" w:hAnsi="宋体" w:eastAsia="宋体" w:cs="宋体"/>
                <w:color w:val="auto"/>
                <w:sz w:val="22"/>
                <w:szCs w:val="22"/>
                <w:highlight w:val="none"/>
                <w:lang w:eastAsia="zh-CN"/>
              </w:rPr>
              <w:t>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rFonts w:hint="eastAsia" w:eastAsiaTheme="minorEastAsia"/>
                <w:color w:val="auto"/>
                <w:sz w:val="22"/>
                <w:szCs w:val="22"/>
                <w:highlight w:val="none"/>
                <w:lang w:eastAsia="zh-CN"/>
              </w:rPr>
            </w:pPr>
            <w:r>
              <w:rPr>
                <w:rFonts w:hint="eastAsia"/>
                <w:color w:val="auto"/>
                <w:sz w:val="22"/>
                <w:szCs w:val="22"/>
                <w:highlight w:val="none"/>
                <w:lang w:eastAsia="zh-CN"/>
              </w:rPr>
              <w:t>单元门顶</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Theme="minorEastAsia"/>
                <w:color w:val="auto"/>
                <w:sz w:val="22"/>
                <w:szCs w:val="22"/>
                <w:highlight w:val="none"/>
                <w:lang w:eastAsia="zh-CN"/>
              </w:rPr>
            </w:pPr>
            <w:r>
              <w:rPr>
                <w:rFonts w:hint="eastAsia"/>
                <w:color w:val="auto"/>
                <w:sz w:val="22"/>
                <w:szCs w:val="22"/>
                <w:highlight w:val="none"/>
                <w:lang w:eastAsia="zh-CN"/>
              </w:rPr>
              <w:t>无杂物、排水通畅</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sz w:val="22"/>
                <w:szCs w:val="22"/>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月</w:t>
            </w:r>
            <w:r>
              <w:rPr>
                <w:rFonts w:hint="eastAsia" w:ascii="宋体" w:hAnsi="宋体" w:eastAsia="宋体" w:cs="宋体"/>
                <w:color w:val="auto"/>
                <w:sz w:val="22"/>
                <w:szCs w:val="22"/>
                <w:highlight w:val="none"/>
              </w:rPr>
              <w:t>一</w:t>
            </w:r>
            <w:r>
              <w:rPr>
                <w:rFonts w:hint="eastAsia" w:ascii="宋体" w:hAnsi="宋体" w:eastAsia="宋体" w:cs="宋体"/>
                <w:color w:val="auto"/>
                <w:sz w:val="22"/>
                <w:szCs w:val="22"/>
                <w:highlight w:val="none"/>
                <w:lang w:eastAsia="zh-CN"/>
              </w:rPr>
              <w:t>次清理；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配电箱</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表面光洁</w:t>
            </w:r>
            <w:r>
              <w:rPr>
                <w:rFonts w:hint="eastAsia" w:ascii="宋体" w:hAnsi="宋体" w:eastAsia="宋体" w:cs="宋体"/>
                <w:color w:val="auto"/>
                <w:sz w:val="22"/>
                <w:szCs w:val="22"/>
                <w:highlight w:val="none"/>
                <w:lang w:eastAsia="zh-CN"/>
              </w:rPr>
              <w:t>、箱内无杂物</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月</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擦拭；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06"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rPr>
                <w:color w:val="auto"/>
                <w:highlight w:val="none"/>
              </w:rPr>
            </w:pPr>
            <w:r>
              <w:rPr>
                <w:rFonts w:hint="eastAsia" w:ascii="宋体" w:hAnsi="宋体" w:eastAsia="宋体" w:cs="宋体"/>
                <w:color w:val="auto"/>
                <w:sz w:val="22"/>
                <w:szCs w:val="22"/>
                <w:highlight w:val="none"/>
              </w:rPr>
              <w:t>消火栓/灭火器、电源开关、消防紧急按钮</w:t>
            </w:r>
          </w:p>
        </w:tc>
        <w:tc>
          <w:tcPr>
            <w:tcW w:w="3791"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无灰尘、</w:t>
            </w:r>
            <w:r>
              <w:rPr>
                <w:rFonts w:hint="eastAsia" w:ascii="宋体" w:hAnsi="宋体" w:eastAsia="宋体" w:cs="宋体"/>
                <w:color w:val="auto"/>
                <w:sz w:val="22"/>
                <w:szCs w:val="22"/>
                <w:highlight w:val="none"/>
                <w:lang w:eastAsia="zh-CN"/>
              </w:rPr>
              <w:t>无乱贴乱画</w:t>
            </w:r>
          </w:p>
        </w:tc>
        <w:tc>
          <w:tcPr>
            <w:tcW w:w="455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rPr>
                <w:rFonts w:hint="default" w:eastAsia="宋体"/>
                <w:color w:val="auto"/>
                <w:highlight w:val="none"/>
                <w:lang w:val="en-US"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月</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擦拭；</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color w:val="auto"/>
          <w:highlight w:val="none"/>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eastAsiaTheme="minorEastAsia"/>
          <w:b/>
          <w:bCs/>
          <w:color w:val="auto"/>
          <w:sz w:val="22"/>
          <w:szCs w:val="22"/>
          <w:highlight w:val="none"/>
          <w:lang w:val="en-US" w:eastAsia="zh-CN"/>
        </w:rPr>
      </w:pPr>
      <w:r>
        <w:rPr>
          <w:rFonts w:hint="eastAsia"/>
          <w:b/>
          <w:bCs/>
          <w:color w:val="auto"/>
          <w:sz w:val="22"/>
          <w:szCs w:val="22"/>
          <w:highlight w:val="none"/>
          <w:lang w:val="en-US" w:eastAsia="zh-CN"/>
        </w:rPr>
        <w:t>3、公共厕所</w:t>
      </w:r>
    </w:p>
    <w:tbl>
      <w:tblPr>
        <w:tblStyle w:val="31"/>
        <w:tblpPr w:leftFromText="180" w:rightFromText="180" w:vertAnchor="text" w:horzAnchor="page" w:tblpX="1469" w:tblpY="281"/>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2385"/>
        <w:gridCol w:w="3632"/>
        <w:gridCol w:w="41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45" w:hRule="atLeast"/>
        </w:trPr>
        <w:tc>
          <w:tcPr>
            <w:tcW w:w="2385"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center"/>
              <w:rPr>
                <w:color w:val="auto"/>
                <w:highlight w:val="none"/>
              </w:rPr>
            </w:pPr>
            <w:r>
              <w:rPr>
                <w:rStyle w:val="34"/>
                <w:rFonts w:hint="eastAsia" w:ascii="宋体" w:hAnsi="宋体" w:eastAsia="宋体" w:cs="宋体"/>
                <w:color w:val="auto"/>
                <w:sz w:val="22"/>
                <w:szCs w:val="22"/>
                <w:highlight w:val="none"/>
              </w:rPr>
              <w:t>位置</w:t>
            </w:r>
          </w:p>
        </w:tc>
        <w:tc>
          <w:tcPr>
            <w:tcW w:w="3632"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390" w:right="0"/>
              <w:jc w:val="center"/>
              <w:rPr>
                <w:color w:val="auto"/>
                <w:highlight w:val="none"/>
              </w:rPr>
            </w:pPr>
            <w:r>
              <w:rPr>
                <w:rStyle w:val="34"/>
                <w:rFonts w:hint="eastAsia" w:ascii="宋体" w:hAnsi="宋体" w:eastAsia="宋体" w:cs="宋体"/>
                <w:color w:val="auto"/>
                <w:sz w:val="22"/>
                <w:szCs w:val="22"/>
                <w:highlight w:val="none"/>
              </w:rPr>
              <w:t>质量标准</w:t>
            </w:r>
          </w:p>
        </w:tc>
        <w:tc>
          <w:tcPr>
            <w:tcW w:w="4138"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150" w:right="0"/>
              <w:jc w:val="center"/>
              <w:rPr>
                <w:color w:val="auto"/>
                <w:highlight w:val="none"/>
              </w:rPr>
            </w:pPr>
            <w:r>
              <w:rPr>
                <w:rStyle w:val="34"/>
                <w:rFonts w:hint="eastAsia" w:ascii="宋体" w:hAnsi="宋体" w:eastAsia="宋体" w:cs="宋体"/>
                <w:color w:val="auto"/>
                <w:sz w:val="22"/>
                <w:szCs w:val="22"/>
                <w:highlight w:val="none"/>
              </w:rPr>
              <w:t>工作频次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center"/>
              <w:rPr>
                <w:color w:val="auto"/>
                <w:highlight w:val="none"/>
              </w:rPr>
            </w:pPr>
            <w:r>
              <w:rPr>
                <w:rFonts w:hint="eastAsia" w:ascii="宋体" w:hAnsi="宋体" w:eastAsia="宋体" w:cs="宋体"/>
                <w:color w:val="auto"/>
                <w:sz w:val="22"/>
                <w:szCs w:val="22"/>
                <w:highlight w:val="none"/>
              </w:rPr>
              <w:t>龙头</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把手</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color w:val="auto"/>
                <w:highlight w:val="none"/>
              </w:rPr>
            </w:pPr>
            <w:r>
              <w:rPr>
                <w:rFonts w:hint="eastAsia" w:ascii="宋体" w:hAnsi="宋体" w:eastAsia="宋体" w:cs="宋体"/>
                <w:color w:val="auto"/>
                <w:sz w:val="22"/>
                <w:szCs w:val="22"/>
                <w:highlight w:val="none"/>
              </w:rPr>
              <w:t>光亮、无水迹、无锈迹</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擦拭</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color w:val="auto"/>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center"/>
              <w:rPr>
                <w:color w:val="auto"/>
                <w:highlight w:val="none"/>
              </w:rPr>
            </w:pPr>
            <w:r>
              <w:rPr>
                <w:rFonts w:hint="eastAsia" w:ascii="宋体" w:hAnsi="宋体" w:eastAsia="宋体" w:cs="宋体"/>
                <w:color w:val="auto"/>
                <w:sz w:val="22"/>
                <w:szCs w:val="22"/>
                <w:highlight w:val="none"/>
              </w:rPr>
              <w:t>不锈钢、铜制品</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color w:val="auto"/>
                <w:highlight w:val="none"/>
              </w:rPr>
            </w:pPr>
            <w:r>
              <w:rPr>
                <w:rFonts w:hint="eastAsia" w:ascii="宋体" w:hAnsi="宋体" w:eastAsia="宋体" w:cs="宋体"/>
                <w:color w:val="auto"/>
                <w:sz w:val="22"/>
                <w:szCs w:val="22"/>
                <w:highlight w:val="none"/>
              </w:rPr>
              <w:t>无指纹、光亮、无氧化迹印</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每周</w:t>
            </w:r>
            <w:r>
              <w:rPr>
                <w:rFonts w:hint="eastAsia" w:ascii="宋体" w:hAnsi="宋体" w:eastAsia="宋体" w:cs="宋体"/>
                <w:color w:val="auto"/>
                <w:sz w:val="22"/>
                <w:szCs w:val="22"/>
                <w:highlight w:val="none"/>
                <w:lang w:eastAsia="zh-CN"/>
              </w:rPr>
              <w:t>擦拭</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，每月一次打油；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35" w:hRule="atLeast"/>
        </w:trPr>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面盆</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color w:val="auto"/>
                <w:highlight w:val="none"/>
              </w:rPr>
            </w:pPr>
            <w:r>
              <w:rPr>
                <w:rFonts w:hint="eastAsia" w:ascii="宋体" w:hAnsi="宋体" w:eastAsia="宋体" w:cs="宋体"/>
                <w:color w:val="auto"/>
                <w:sz w:val="22"/>
                <w:szCs w:val="22"/>
                <w:highlight w:val="none"/>
              </w:rPr>
              <w:t>无污迹、自然光亮</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擦拭</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90" w:hRule="atLeast"/>
        </w:trPr>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center"/>
              <w:rPr>
                <w:color w:val="auto"/>
                <w:highlight w:val="none"/>
              </w:rPr>
            </w:pPr>
            <w:r>
              <w:rPr>
                <w:rFonts w:hint="eastAsia" w:ascii="宋体" w:hAnsi="宋体" w:eastAsia="宋体" w:cs="宋体"/>
                <w:color w:val="auto"/>
                <w:sz w:val="22"/>
                <w:szCs w:val="22"/>
                <w:highlight w:val="none"/>
              </w:rPr>
              <w:t>马桶（便池）</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color w:val="auto"/>
                <w:highlight w:val="none"/>
              </w:rPr>
            </w:pPr>
            <w:r>
              <w:rPr>
                <w:rFonts w:hint="eastAsia" w:ascii="宋体" w:hAnsi="宋体" w:eastAsia="宋体" w:cs="宋体"/>
                <w:color w:val="auto"/>
                <w:sz w:val="22"/>
                <w:szCs w:val="22"/>
                <w:highlight w:val="none"/>
              </w:rPr>
              <w:t>无污迹、无异味</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刷洗</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center"/>
              <w:rPr>
                <w:color w:val="auto"/>
                <w:highlight w:val="none"/>
              </w:rPr>
            </w:pPr>
            <w:r>
              <w:rPr>
                <w:rFonts w:hint="eastAsia" w:ascii="宋体" w:hAnsi="宋体" w:eastAsia="宋体" w:cs="宋体"/>
                <w:color w:val="auto"/>
                <w:sz w:val="22"/>
                <w:szCs w:val="22"/>
                <w:highlight w:val="none"/>
              </w:rPr>
              <w:t>玻璃镜面</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color w:val="auto"/>
                <w:highlight w:val="none"/>
              </w:rPr>
            </w:pPr>
            <w:r>
              <w:rPr>
                <w:rFonts w:hint="eastAsia" w:ascii="宋体" w:hAnsi="宋体" w:eastAsia="宋体" w:cs="宋体"/>
                <w:color w:val="auto"/>
                <w:sz w:val="22"/>
                <w:szCs w:val="22"/>
                <w:highlight w:val="none"/>
              </w:rPr>
              <w:t>无水迹、无指痕，光亮</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rFonts w:hint="eastAsia" w:eastAsia="宋体"/>
                <w:color w:val="auto"/>
                <w:highlight w:val="none"/>
                <w:lang w:eastAsia="zh-CN"/>
              </w:rPr>
            </w:pPr>
            <w:r>
              <w:rPr>
                <w:rFonts w:hint="eastAsia" w:ascii="宋体" w:hAnsi="宋体" w:eastAsia="宋体" w:cs="宋体"/>
                <w:color w:val="auto"/>
                <w:sz w:val="22"/>
                <w:szCs w:val="22"/>
                <w:highlight w:val="none"/>
                <w:lang w:eastAsia="zh-CN"/>
              </w:rPr>
              <w:t>每日擦拭两次；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90" w:hRule="atLeast"/>
        </w:trPr>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地漏</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color w:val="auto"/>
                <w:highlight w:val="none"/>
              </w:rPr>
            </w:pPr>
            <w:r>
              <w:rPr>
                <w:rFonts w:hint="eastAsia" w:ascii="宋体" w:hAnsi="宋体" w:eastAsia="宋体" w:cs="宋体"/>
                <w:color w:val="auto"/>
                <w:sz w:val="22"/>
                <w:szCs w:val="22"/>
                <w:highlight w:val="none"/>
              </w:rPr>
              <w:t>无污迹、无垃圾</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rFonts w:hint="eastAsia" w:eastAsia="宋体"/>
                <w:color w:val="auto"/>
                <w:highlight w:val="none"/>
                <w:lang w:eastAsia="zh-CN"/>
              </w:rPr>
            </w:pPr>
            <w:r>
              <w:rPr>
                <w:rFonts w:hint="eastAsia" w:ascii="宋体" w:hAnsi="宋体" w:eastAsia="宋体" w:cs="宋体"/>
                <w:color w:val="auto"/>
                <w:sz w:val="22"/>
                <w:szCs w:val="22"/>
                <w:highlight w:val="none"/>
              </w:rPr>
              <w:t>每周</w:t>
            </w:r>
            <w:r>
              <w:rPr>
                <w:rFonts w:hint="eastAsia" w:ascii="宋体" w:hAnsi="宋体" w:eastAsia="宋体" w:cs="宋体"/>
                <w:color w:val="auto"/>
                <w:sz w:val="22"/>
                <w:szCs w:val="22"/>
                <w:highlight w:val="none"/>
                <w:lang w:eastAsia="zh-CN"/>
              </w:rPr>
              <w:t>清理二</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地垫</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color w:val="auto"/>
                <w:highlight w:val="none"/>
              </w:rPr>
            </w:pPr>
            <w:r>
              <w:rPr>
                <w:rFonts w:hint="eastAsia" w:ascii="宋体" w:hAnsi="宋体" w:eastAsia="宋体" w:cs="宋体"/>
                <w:color w:val="auto"/>
                <w:sz w:val="22"/>
                <w:szCs w:val="22"/>
                <w:highlight w:val="none"/>
              </w:rPr>
              <w:t>无污迹、无油迹</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left"/>
              <w:rPr>
                <w:rFonts w:hint="eastAsia" w:eastAsia="宋体"/>
                <w:color w:val="auto"/>
                <w:highlight w:val="none"/>
                <w:lang w:eastAsia="zh-CN"/>
              </w:rPr>
            </w:pPr>
            <w:r>
              <w:rPr>
                <w:rFonts w:hint="eastAsia" w:ascii="宋体" w:hAnsi="宋体" w:eastAsia="宋体" w:cs="宋体"/>
                <w:color w:val="auto"/>
                <w:sz w:val="22"/>
                <w:szCs w:val="22"/>
                <w:highlight w:val="none"/>
              </w:rPr>
              <w:t>每周</w:t>
            </w:r>
            <w:r>
              <w:rPr>
                <w:rFonts w:hint="eastAsia" w:ascii="宋体" w:hAnsi="宋体" w:eastAsia="宋体" w:cs="宋体"/>
                <w:color w:val="auto"/>
                <w:sz w:val="22"/>
                <w:szCs w:val="22"/>
                <w:highlight w:val="none"/>
                <w:lang w:eastAsia="zh-CN"/>
              </w:rPr>
              <w:t>刷洗二</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hint="eastAsia" w:ascii="宋体" w:hAnsi="宋体" w:eastAsia="宋体" w:cs="宋体"/>
                <w:color w:val="auto"/>
                <w:kern w:val="0"/>
                <w:sz w:val="22"/>
                <w:szCs w:val="22"/>
                <w:highlight w:val="none"/>
                <w:lang w:val="en-US" w:eastAsia="zh-CN" w:bidi="ar"/>
              </w:rPr>
              <w:t>砖</w:t>
            </w:r>
            <w:r>
              <w:rPr>
                <w:rFonts w:ascii="宋体" w:hAnsi="宋体" w:eastAsia="宋体" w:cs="宋体"/>
                <w:color w:val="auto"/>
                <w:kern w:val="0"/>
                <w:sz w:val="22"/>
                <w:szCs w:val="22"/>
                <w:highlight w:val="none"/>
                <w:lang w:val="en-US" w:eastAsia="zh-CN" w:bidi="ar"/>
              </w:rPr>
              <w:t>墙面</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auto"/>
                <w:highlight w:val="none"/>
              </w:rPr>
            </w:pPr>
            <w:r>
              <w:rPr>
                <w:rFonts w:hint="eastAsia" w:ascii="宋体" w:hAnsi="宋体" w:eastAsia="宋体" w:cs="宋体"/>
                <w:color w:val="auto"/>
                <w:sz w:val="22"/>
                <w:szCs w:val="22"/>
                <w:highlight w:val="none"/>
              </w:rPr>
              <w:t>无积尘、无污迹</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周擦拭</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2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auto"/>
                <w:highlight w:val="none"/>
              </w:rPr>
            </w:pPr>
            <w:r>
              <w:rPr>
                <w:color w:val="auto"/>
                <w:sz w:val="22"/>
                <w:szCs w:val="22"/>
                <w:highlight w:val="none"/>
              </w:rPr>
              <w:t>地面</w:t>
            </w:r>
          </w:p>
        </w:tc>
        <w:tc>
          <w:tcPr>
            <w:tcW w:w="3632"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color w:val="auto"/>
                <w:highlight w:val="none"/>
              </w:rPr>
            </w:pPr>
            <w:r>
              <w:rPr>
                <w:rFonts w:hint="eastAsia" w:ascii="宋体" w:hAnsi="宋体" w:eastAsia="宋体" w:cs="宋体"/>
                <w:color w:val="auto"/>
                <w:sz w:val="22"/>
                <w:szCs w:val="22"/>
                <w:highlight w:val="none"/>
              </w:rPr>
              <w:t>无污迹、无积水</w:t>
            </w:r>
          </w:p>
        </w:tc>
        <w:tc>
          <w:tcPr>
            <w:tcW w:w="4138"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8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拖洗</w:t>
            </w:r>
            <w:r>
              <w:rPr>
                <w:rFonts w:hint="eastAsia" w:ascii="宋体" w:hAnsi="宋体" w:eastAsia="宋体" w:cs="宋体"/>
                <w:color w:val="auto"/>
                <w:sz w:val="22"/>
                <w:szCs w:val="22"/>
                <w:highlight w:val="none"/>
              </w:rPr>
              <w:t>两次</w:t>
            </w:r>
            <w:r>
              <w:rPr>
                <w:rFonts w:hint="eastAsia" w:ascii="宋体" w:hAnsi="宋体" w:eastAsia="宋体" w:cs="宋体"/>
                <w:color w:val="auto"/>
                <w:sz w:val="22"/>
                <w:szCs w:val="22"/>
                <w:highlight w:val="none"/>
                <w:lang w:eastAsia="zh-CN"/>
              </w:rPr>
              <w:t>；</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color w:val="auto"/>
          <w:highlight w:val="none"/>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sz w:val="22"/>
          <w:szCs w:val="22"/>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eastAsiaTheme="minorEastAsia"/>
          <w:b/>
          <w:bCs/>
          <w:color w:val="auto"/>
          <w:sz w:val="22"/>
          <w:szCs w:val="22"/>
          <w:highlight w:val="none"/>
          <w:lang w:val="en-US" w:eastAsia="zh-CN"/>
        </w:rPr>
      </w:pPr>
      <w:r>
        <w:rPr>
          <w:rFonts w:hint="eastAsia"/>
          <w:b/>
          <w:bCs/>
          <w:color w:val="auto"/>
          <w:sz w:val="22"/>
          <w:szCs w:val="22"/>
          <w:highlight w:val="none"/>
          <w:lang w:val="en-US" w:eastAsia="zh-CN"/>
        </w:rPr>
        <w:t>4、电梯</w:t>
      </w:r>
    </w:p>
    <w:tbl>
      <w:tblPr>
        <w:tblStyle w:val="31"/>
        <w:tblpPr w:leftFromText="180" w:rightFromText="180" w:vertAnchor="text" w:horzAnchor="page" w:tblpX="1349" w:tblpY="128"/>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927"/>
        <w:gridCol w:w="3691"/>
        <w:gridCol w:w="45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45" w:hRule="atLeast"/>
        </w:trPr>
        <w:tc>
          <w:tcPr>
            <w:tcW w:w="1927"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center"/>
              <w:rPr>
                <w:color w:val="auto"/>
                <w:highlight w:val="none"/>
              </w:rPr>
            </w:pPr>
            <w:r>
              <w:rPr>
                <w:rStyle w:val="34"/>
                <w:rFonts w:hint="eastAsia" w:ascii="宋体" w:hAnsi="宋体" w:eastAsia="宋体" w:cs="宋体"/>
                <w:color w:val="auto"/>
                <w:sz w:val="22"/>
                <w:szCs w:val="22"/>
                <w:highlight w:val="none"/>
              </w:rPr>
              <w:t>位置</w:t>
            </w:r>
          </w:p>
        </w:tc>
        <w:tc>
          <w:tcPr>
            <w:tcW w:w="3691"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390" w:right="0"/>
              <w:jc w:val="center"/>
              <w:rPr>
                <w:color w:val="auto"/>
                <w:highlight w:val="none"/>
              </w:rPr>
            </w:pPr>
            <w:r>
              <w:rPr>
                <w:rStyle w:val="34"/>
                <w:rFonts w:hint="eastAsia" w:ascii="宋体" w:hAnsi="宋体" w:eastAsia="宋体" w:cs="宋体"/>
                <w:color w:val="auto"/>
                <w:sz w:val="22"/>
                <w:szCs w:val="22"/>
                <w:highlight w:val="none"/>
              </w:rPr>
              <w:t>质量标准</w:t>
            </w:r>
          </w:p>
        </w:tc>
        <w:tc>
          <w:tcPr>
            <w:tcW w:w="4537"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150" w:right="0"/>
              <w:jc w:val="center"/>
              <w:rPr>
                <w:color w:val="auto"/>
                <w:highlight w:val="none"/>
              </w:rPr>
            </w:pPr>
            <w:r>
              <w:rPr>
                <w:rStyle w:val="34"/>
                <w:rFonts w:hint="eastAsia" w:ascii="宋体" w:hAnsi="宋体" w:eastAsia="宋体" w:cs="宋体"/>
                <w:color w:val="auto"/>
                <w:sz w:val="22"/>
                <w:szCs w:val="22"/>
                <w:highlight w:val="none"/>
              </w:rPr>
              <w:t>工作频次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 w:hRule="atLeast"/>
        </w:trPr>
        <w:tc>
          <w:tcPr>
            <w:tcW w:w="1927"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center"/>
              <w:rPr>
                <w:color w:val="auto"/>
                <w:highlight w:val="none"/>
              </w:rPr>
            </w:pPr>
            <w:r>
              <w:rPr>
                <w:rFonts w:hint="eastAsia" w:ascii="宋体" w:hAnsi="宋体" w:eastAsia="宋体" w:cs="宋体"/>
                <w:color w:val="auto"/>
                <w:sz w:val="22"/>
                <w:szCs w:val="22"/>
                <w:highlight w:val="none"/>
              </w:rPr>
              <w:t> </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leftChars="0" w:right="0" w:firstLine="0" w:firstLineChars="0"/>
              <w:jc w:val="both"/>
              <w:rPr>
                <w:rFonts w:hint="eastAsia" w:eastAsia="宋体"/>
                <w:color w:val="auto"/>
                <w:highlight w:val="none"/>
                <w:lang w:eastAsia="zh-CN"/>
              </w:rPr>
            </w:pPr>
            <w:r>
              <w:rPr>
                <w:rFonts w:hint="eastAsia" w:ascii="宋体" w:hAnsi="宋体" w:eastAsia="宋体" w:cs="宋体"/>
                <w:color w:val="auto"/>
                <w:sz w:val="22"/>
                <w:szCs w:val="22"/>
                <w:highlight w:val="none"/>
              </w:rPr>
              <w:t>电梯厅</w:t>
            </w:r>
            <w:r>
              <w:rPr>
                <w:rFonts w:hint="eastAsia" w:ascii="宋体" w:hAnsi="宋体" w:eastAsia="宋体" w:cs="宋体"/>
                <w:color w:val="auto"/>
                <w:sz w:val="22"/>
                <w:szCs w:val="22"/>
                <w:highlight w:val="none"/>
                <w:lang w:eastAsia="zh-CN"/>
              </w:rPr>
              <w:t>（前室）</w:t>
            </w:r>
          </w:p>
        </w:tc>
        <w:tc>
          <w:tcPr>
            <w:tcW w:w="369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leftChars="0" w:right="0" w:firstLine="0" w:firstLineChars="0"/>
              <w:jc w:val="both"/>
              <w:rPr>
                <w:color w:val="auto"/>
                <w:highlight w:val="none"/>
              </w:rPr>
            </w:pPr>
            <w:r>
              <w:rPr>
                <w:rFonts w:hint="eastAsia" w:ascii="宋体" w:hAnsi="宋体" w:eastAsia="宋体" w:cs="宋体"/>
                <w:color w:val="auto"/>
                <w:sz w:val="22"/>
                <w:szCs w:val="22"/>
                <w:highlight w:val="none"/>
              </w:rPr>
              <w:t>地面干净整洁、无垃圾废物、无积尘</w:t>
            </w:r>
          </w:p>
        </w:tc>
        <w:tc>
          <w:tcPr>
            <w:tcW w:w="4537"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rFonts w:hint="eastAsia" w:ascii="宋体" w:hAnsi="宋体" w:eastAsia="宋体" w:cs="宋体"/>
                <w:color w:val="auto"/>
                <w:sz w:val="22"/>
                <w:szCs w:val="22"/>
                <w:highlight w:val="none"/>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拖洗</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color w:val="auto"/>
                <w:highlight w:val="none"/>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rPr>
                <w:color w:val="auto"/>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c>
          <w:tcPr>
            <w:tcW w:w="1927"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0"/>
              <w:jc w:val="center"/>
              <w:rPr>
                <w:color w:val="auto"/>
                <w:highlight w:val="none"/>
              </w:rPr>
            </w:pPr>
            <w:r>
              <w:rPr>
                <w:rFonts w:hint="eastAsia" w:ascii="宋体" w:hAnsi="宋体" w:eastAsia="宋体" w:cs="宋体"/>
                <w:color w:val="auto"/>
                <w:sz w:val="22"/>
                <w:szCs w:val="22"/>
                <w:highlight w:val="none"/>
              </w:rPr>
              <w:t>电梯厅门</w:t>
            </w:r>
          </w:p>
        </w:tc>
        <w:tc>
          <w:tcPr>
            <w:tcW w:w="369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55" w:lineRule="atLeast"/>
              <w:ind w:left="0" w:right="120"/>
              <w:jc w:val="center"/>
              <w:rPr>
                <w:color w:val="auto"/>
                <w:highlight w:val="none"/>
              </w:rPr>
            </w:pPr>
            <w:r>
              <w:rPr>
                <w:rFonts w:hint="eastAsia" w:ascii="宋体" w:hAnsi="宋体" w:eastAsia="宋体" w:cs="宋体"/>
                <w:color w:val="auto"/>
                <w:sz w:val="22"/>
                <w:szCs w:val="22"/>
                <w:highlight w:val="none"/>
              </w:rPr>
              <w:t>无灰尘、无污迹、自然光亮</w:t>
            </w:r>
          </w:p>
        </w:tc>
        <w:tc>
          <w:tcPr>
            <w:tcW w:w="4537" w:type="dxa"/>
            <w:tcBorders>
              <w:top w:val="nil"/>
              <w:left w:val="nil"/>
              <w:bottom w:val="single" w:color="auto" w:sz="6" w:space="0"/>
              <w:right w:val="single" w:color="auto" w:sz="6" w:space="0"/>
            </w:tcBorders>
            <w:shd w:val="clear" w:color="auto" w:fill="auto"/>
            <w:tcMar>
              <w:left w:w="105" w:type="dxa"/>
              <w:right w:w="105" w:type="dxa"/>
            </w:tcMar>
            <w:vAlign w:val="top"/>
          </w:tcPr>
          <w:p>
            <w:pPr>
              <w:keepNext w:val="0"/>
              <w:keepLines w:val="0"/>
              <w:widowControl/>
              <w:suppressLineNumbers w:val="0"/>
              <w:wordWrap w:val="0"/>
              <w:spacing w:before="0" w:beforeAutospacing="0" w:after="0" w:afterAutospacing="0"/>
              <w:ind w:left="0" w:leftChars="0" w:right="0" w:firstLine="0" w:firstLineChars="0"/>
              <w:jc w:val="left"/>
              <w:rPr>
                <w:color w:val="auto"/>
                <w:highlight w:val="none"/>
              </w:rPr>
            </w:pPr>
            <w:r>
              <w:rPr>
                <w:rFonts w:ascii="宋体" w:hAnsi="宋体" w:eastAsia="宋体" w:cs="宋体"/>
                <w:color w:val="auto"/>
                <w:kern w:val="0"/>
                <w:sz w:val="22"/>
                <w:szCs w:val="22"/>
                <w:highlight w:val="none"/>
                <w:lang w:val="en-US" w:eastAsia="zh-CN" w:bidi="ar"/>
              </w:rPr>
              <w:t>每日</w:t>
            </w:r>
            <w:r>
              <w:rPr>
                <w:rFonts w:hint="eastAsia" w:ascii="宋体" w:hAnsi="宋体" w:eastAsia="宋体" w:cs="宋体"/>
                <w:color w:val="auto"/>
                <w:kern w:val="0"/>
                <w:sz w:val="22"/>
                <w:szCs w:val="22"/>
                <w:highlight w:val="none"/>
                <w:lang w:val="en-US" w:eastAsia="zh-CN" w:bidi="ar"/>
              </w:rPr>
              <w:t>两</w:t>
            </w:r>
            <w:r>
              <w:rPr>
                <w:rFonts w:ascii="宋体" w:hAnsi="宋体" w:eastAsia="宋体" w:cs="宋体"/>
                <w:color w:val="auto"/>
                <w:kern w:val="0"/>
                <w:sz w:val="22"/>
                <w:szCs w:val="22"/>
                <w:highlight w:val="none"/>
                <w:lang w:val="en-US" w:eastAsia="zh-CN" w:bidi="ar"/>
              </w:rPr>
              <w:t>次</w:t>
            </w:r>
            <w:r>
              <w:rPr>
                <w:rFonts w:hint="eastAsia" w:ascii="宋体" w:hAnsi="宋体" w:eastAsia="宋体" w:cs="宋体"/>
                <w:color w:val="auto"/>
                <w:kern w:val="0"/>
                <w:sz w:val="22"/>
                <w:szCs w:val="22"/>
                <w:highlight w:val="none"/>
                <w:lang w:val="en-US" w:eastAsia="zh-CN" w:bidi="ar"/>
              </w:rPr>
              <w:t>擦拭，</w:t>
            </w:r>
            <w:r>
              <w:rPr>
                <w:rFonts w:ascii="宋体" w:hAnsi="宋体" w:eastAsia="宋体" w:cs="宋体"/>
                <w:color w:val="auto"/>
                <w:kern w:val="0"/>
                <w:sz w:val="22"/>
                <w:szCs w:val="22"/>
                <w:highlight w:val="none"/>
                <w:lang w:val="en-US" w:eastAsia="zh-CN" w:bidi="ar"/>
              </w:rPr>
              <w:t>抛光每周一次</w:t>
            </w:r>
            <w:r>
              <w:rPr>
                <w:rFonts w:hint="eastAsia" w:ascii="宋体" w:hAnsi="宋体" w:eastAsia="宋体" w:cs="宋体"/>
                <w:color w:val="auto"/>
                <w:kern w:val="0"/>
                <w:sz w:val="22"/>
                <w:szCs w:val="22"/>
                <w:highlight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1590" w:hRule="atLeast"/>
        </w:trPr>
        <w:tc>
          <w:tcPr>
            <w:tcW w:w="1927"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轿箱</w:t>
            </w:r>
          </w:p>
        </w:tc>
        <w:tc>
          <w:tcPr>
            <w:tcW w:w="369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leftChars="0" w:right="0" w:firstLine="0" w:firstLineChars="0"/>
              <w:jc w:val="both"/>
              <w:rPr>
                <w:color w:val="auto"/>
                <w:highlight w:val="none"/>
              </w:rPr>
            </w:pPr>
            <w:r>
              <w:rPr>
                <w:rFonts w:hint="eastAsia" w:ascii="宋体" w:hAnsi="宋体" w:eastAsia="宋体" w:cs="宋体"/>
                <w:color w:val="auto"/>
                <w:sz w:val="22"/>
                <w:szCs w:val="22"/>
                <w:highlight w:val="none"/>
              </w:rPr>
              <w:t>无指纹、无异物、无灰尘、无异味、无蚊虫、无污迹</w:t>
            </w:r>
          </w:p>
        </w:tc>
        <w:tc>
          <w:tcPr>
            <w:tcW w:w="4537"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leftChars="0" w:right="0" w:firstLine="0" w:firstLineChars="0"/>
              <w:rPr>
                <w:rFonts w:hint="eastAsia" w:eastAsia="宋体"/>
                <w:color w:val="auto"/>
                <w:highlight w:val="none"/>
                <w:lang w:eastAsia="zh-CN"/>
              </w:rPr>
            </w:pPr>
            <w:r>
              <w:rPr>
                <w:rFonts w:hint="eastAsia" w:ascii="宋体" w:hAnsi="宋体" w:eastAsia="宋体" w:cs="宋体"/>
                <w:color w:val="auto"/>
                <w:sz w:val="22"/>
                <w:szCs w:val="22"/>
                <w:highlight w:val="none"/>
                <w:lang w:eastAsia="zh-CN"/>
              </w:rPr>
              <w:t>地面</w:t>
            </w:r>
            <w:r>
              <w:rPr>
                <w:rFonts w:hint="eastAsia" w:ascii="宋体" w:hAnsi="宋体" w:eastAsia="宋体" w:cs="宋体"/>
                <w:color w:val="auto"/>
                <w:sz w:val="22"/>
                <w:szCs w:val="22"/>
                <w:highlight w:val="none"/>
              </w:rPr>
              <w:t>每日</w:t>
            </w:r>
            <w:r>
              <w:rPr>
                <w:rFonts w:hint="eastAsia" w:ascii="宋体" w:hAnsi="宋体" w:eastAsia="宋体" w:cs="宋体"/>
                <w:color w:val="auto"/>
                <w:sz w:val="22"/>
                <w:szCs w:val="22"/>
                <w:highlight w:val="none"/>
                <w:lang w:eastAsia="zh-CN"/>
              </w:rPr>
              <w:t>拖洗二</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顶灯擦拭每周一次</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厅门滑槽内异物</w:t>
            </w:r>
            <w:r>
              <w:rPr>
                <w:rFonts w:hint="eastAsia" w:ascii="宋体" w:hAnsi="宋体" w:eastAsia="宋体" w:cs="宋体"/>
                <w:color w:val="auto"/>
                <w:sz w:val="22"/>
                <w:szCs w:val="22"/>
                <w:highlight w:val="none"/>
                <w:lang w:eastAsia="zh-CN"/>
              </w:rPr>
              <w:t>每周清理一次，</w:t>
            </w:r>
            <w:r>
              <w:rPr>
                <w:rFonts w:hint="eastAsia" w:ascii="宋体" w:hAnsi="宋体" w:eastAsia="宋体" w:cs="宋体"/>
                <w:color w:val="auto"/>
                <w:sz w:val="22"/>
                <w:szCs w:val="22"/>
                <w:highlight w:val="none"/>
              </w:rPr>
              <w:t>镜面擦拭</w:t>
            </w:r>
            <w:r>
              <w:rPr>
                <w:rFonts w:hint="eastAsia" w:ascii="宋体" w:hAnsi="宋体" w:eastAsia="宋体" w:cs="宋体"/>
                <w:color w:val="auto"/>
                <w:sz w:val="22"/>
                <w:szCs w:val="22"/>
                <w:highlight w:val="none"/>
                <w:lang w:eastAsia="zh-CN"/>
              </w:rPr>
              <w:t>每日二次；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25" w:hRule="atLeast"/>
        </w:trPr>
        <w:tc>
          <w:tcPr>
            <w:tcW w:w="1927"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电梯内按键</w:t>
            </w:r>
          </w:p>
        </w:tc>
        <w:tc>
          <w:tcPr>
            <w:tcW w:w="3691"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无灰尘、无污迹、无指纹</w:t>
            </w:r>
          </w:p>
        </w:tc>
        <w:tc>
          <w:tcPr>
            <w:tcW w:w="4537"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lang w:eastAsia="zh-CN"/>
              </w:rPr>
              <w:t>每日擦拭二次；</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eastAsiaTheme="minorEastAsia"/>
          <w:b/>
          <w:bCs/>
          <w:color w:val="auto"/>
          <w:sz w:val="22"/>
          <w:szCs w:val="22"/>
          <w:highlight w:val="none"/>
          <w:lang w:val="en-US" w:eastAsia="zh-CN"/>
        </w:rPr>
      </w:pPr>
      <w:r>
        <w:rPr>
          <w:rFonts w:hint="eastAsia"/>
          <w:b/>
          <w:bCs/>
          <w:color w:val="auto"/>
          <w:sz w:val="22"/>
          <w:szCs w:val="22"/>
          <w:highlight w:val="none"/>
          <w:lang w:val="en-US" w:eastAsia="zh-CN"/>
        </w:rPr>
        <w:t>5、垃圾中转站</w:t>
      </w:r>
    </w:p>
    <w:tbl>
      <w:tblPr>
        <w:tblStyle w:val="31"/>
        <w:tblpPr w:leftFromText="180" w:rightFromText="180" w:vertAnchor="text" w:horzAnchor="page" w:tblpX="1499" w:tblpY="242"/>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907"/>
        <w:gridCol w:w="3126"/>
        <w:gridCol w:w="51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60" w:hRule="atLeast"/>
        </w:trPr>
        <w:tc>
          <w:tcPr>
            <w:tcW w:w="1907"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Style w:val="34"/>
                <w:rFonts w:hint="eastAsia" w:ascii="宋体" w:hAnsi="宋体" w:eastAsia="宋体" w:cs="宋体"/>
                <w:color w:val="auto"/>
                <w:sz w:val="22"/>
                <w:szCs w:val="22"/>
                <w:highlight w:val="none"/>
              </w:rPr>
              <w:t>位置</w:t>
            </w:r>
          </w:p>
        </w:tc>
        <w:tc>
          <w:tcPr>
            <w:tcW w:w="3126"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Style w:val="34"/>
                <w:rFonts w:hint="eastAsia" w:ascii="宋体" w:hAnsi="宋体" w:eastAsia="宋体" w:cs="宋体"/>
                <w:color w:val="auto"/>
                <w:kern w:val="0"/>
                <w:sz w:val="22"/>
                <w:szCs w:val="22"/>
                <w:highlight w:val="none"/>
                <w:lang w:val="en-US" w:eastAsia="zh-CN" w:bidi="ar"/>
              </w:rPr>
              <w:t>质量标准</w:t>
            </w:r>
          </w:p>
        </w:tc>
        <w:tc>
          <w:tcPr>
            <w:tcW w:w="5122"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150" w:right="0"/>
              <w:jc w:val="center"/>
              <w:rPr>
                <w:color w:val="auto"/>
                <w:highlight w:val="none"/>
              </w:rPr>
            </w:pPr>
            <w:r>
              <w:rPr>
                <w:rStyle w:val="34"/>
                <w:rFonts w:hint="eastAsia" w:ascii="宋体" w:hAnsi="宋体" w:eastAsia="宋体" w:cs="宋体"/>
                <w:color w:val="auto"/>
                <w:sz w:val="22"/>
                <w:szCs w:val="22"/>
                <w:highlight w:val="none"/>
              </w:rPr>
              <w:t>工作频次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907"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生活垃圾中转站</w:t>
            </w:r>
          </w:p>
        </w:tc>
        <w:tc>
          <w:tcPr>
            <w:tcW w:w="312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无遗弃垃圾、无臭味、无污水、无蚊虫、表面整洁</w:t>
            </w:r>
          </w:p>
        </w:tc>
        <w:tc>
          <w:tcPr>
            <w:tcW w:w="512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eastAsia="宋体"/>
                <w:color w:val="auto"/>
                <w:highlight w:val="none"/>
                <w:lang w:eastAsia="zh-CN"/>
              </w:rPr>
            </w:pPr>
            <w:r>
              <w:rPr>
                <w:color w:val="auto"/>
                <w:sz w:val="22"/>
                <w:szCs w:val="22"/>
                <w:highlight w:val="none"/>
              </w:rPr>
              <w:t>每日</w:t>
            </w:r>
            <w:r>
              <w:rPr>
                <w:rFonts w:hint="eastAsia"/>
                <w:color w:val="auto"/>
                <w:sz w:val="22"/>
                <w:szCs w:val="22"/>
                <w:highlight w:val="none"/>
                <w:lang w:eastAsia="zh-CN"/>
              </w:rPr>
              <w:t>清扫</w:t>
            </w:r>
            <w:r>
              <w:rPr>
                <w:color w:val="auto"/>
                <w:sz w:val="22"/>
                <w:szCs w:val="22"/>
                <w:highlight w:val="none"/>
              </w:rPr>
              <w:t>一次</w:t>
            </w:r>
            <w:r>
              <w:rPr>
                <w:rFonts w:hint="eastAsia"/>
                <w:color w:val="auto"/>
                <w:sz w:val="22"/>
                <w:szCs w:val="22"/>
                <w:highlight w:val="none"/>
                <w:lang w:eastAsia="zh-CN"/>
              </w:rPr>
              <w:t>；</w:t>
            </w:r>
            <w:r>
              <w:rPr>
                <w:rFonts w:hint="eastAsia" w:ascii="宋体" w:hAnsi="宋体" w:eastAsia="宋体" w:cs="宋体"/>
                <w:color w:val="auto"/>
                <w:sz w:val="22"/>
                <w:szCs w:val="22"/>
                <w:highlight w:val="none"/>
              </w:rPr>
              <w:t>每周彻底清洗，消毒一次（含垃圾桶）</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5" w:hRule="atLeast"/>
        </w:trPr>
        <w:tc>
          <w:tcPr>
            <w:tcW w:w="1907"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建渣堆放点</w:t>
            </w:r>
          </w:p>
        </w:tc>
        <w:tc>
          <w:tcPr>
            <w:tcW w:w="312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集中堆放、有遮挡物、不得与生活垃圾混放</w:t>
            </w:r>
          </w:p>
        </w:tc>
        <w:tc>
          <w:tcPr>
            <w:tcW w:w="5122" w:type="dxa"/>
            <w:tcBorders>
              <w:top w:val="nil"/>
              <w:left w:val="nil"/>
              <w:bottom w:val="single" w:color="auto" w:sz="6" w:space="0"/>
              <w:right w:val="single" w:color="auto" w:sz="6" w:space="0"/>
            </w:tcBorders>
            <w:shd w:val="clear" w:color="auto" w:fill="auto"/>
            <w:tcMar>
              <w:left w:w="105" w:type="dxa"/>
              <w:right w:w="105" w:type="dxa"/>
            </w:tcMar>
            <w:vAlign w:val="center"/>
          </w:tcPr>
          <w:p>
            <w:pPr>
              <w:keepNext w:val="0"/>
              <w:keepLines w:val="0"/>
              <w:widowControl/>
              <w:suppressLineNumbers w:val="0"/>
              <w:wordWrap w:val="0"/>
              <w:spacing w:before="0" w:beforeAutospacing="0" w:after="0" w:afterAutospacing="0"/>
              <w:ind w:left="0" w:right="0"/>
              <w:jc w:val="center"/>
              <w:rPr>
                <w:color w:val="auto"/>
                <w:highlight w:val="none"/>
              </w:rPr>
            </w:pPr>
            <w:r>
              <w:rPr>
                <w:rFonts w:ascii="宋体" w:hAnsi="宋体" w:eastAsia="宋体" w:cs="宋体"/>
                <w:color w:val="auto"/>
                <w:kern w:val="0"/>
                <w:sz w:val="22"/>
                <w:szCs w:val="22"/>
                <w:highlight w:val="none"/>
                <w:lang w:val="en-US" w:eastAsia="zh-CN" w:bidi="ar"/>
              </w:rPr>
              <w:t>视实际情况及时清理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40" w:hRule="atLeast"/>
        </w:trPr>
        <w:tc>
          <w:tcPr>
            <w:tcW w:w="1907"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弃置旧家俱、废物堆放</w:t>
            </w:r>
          </w:p>
        </w:tc>
        <w:tc>
          <w:tcPr>
            <w:tcW w:w="3126"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120"/>
              <w:jc w:val="center"/>
              <w:rPr>
                <w:color w:val="auto"/>
                <w:highlight w:val="none"/>
              </w:rPr>
            </w:pPr>
            <w:r>
              <w:rPr>
                <w:rFonts w:hint="eastAsia" w:ascii="宋体" w:hAnsi="宋体" w:eastAsia="宋体" w:cs="宋体"/>
                <w:color w:val="auto"/>
                <w:sz w:val="22"/>
                <w:szCs w:val="22"/>
                <w:highlight w:val="none"/>
              </w:rPr>
              <w:t>清理及时、地面整洁</w:t>
            </w:r>
          </w:p>
        </w:tc>
        <w:tc>
          <w:tcPr>
            <w:tcW w:w="5122" w:type="dxa"/>
            <w:tcBorders>
              <w:top w:val="nil"/>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视实际情况及时清理</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color w:val="auto"/>
          <w:highlight w:val="none"/>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eastAsiaTheme="minorEastAsia"/>
          <w:b/>
          <w:bCs/>
          <w:color w:val="auto"/>
          <w:sz w:val="22"/>
          <w:szCs w:val="22"/>
          <w:highlight w:val="none"/>
          <w:lang w:val="en-US" w:eastAsia="zh-CN"/>
        </w:rPr>
      </w:pPr>
      <w:r>
        <w:rPr>
          <w:rFonts w:hint="eastAsia"/>
          <w:b/>
          <w:bCs/>
          <w:color w:val="auto"/>
          <w:sz w:val="22"/>
          <w:szCs w:val="22"/>
          <w:highlight w:val="none"/>
          <w:lang w:val="en-US" w:eastAsia="zh-CN"/>
        </w:rPr>
        <w:t>6、停车场</w:t>
      </w:r>
    </w:p>
    <w:tbl>
      <w:tblPr>
        <w:tblStyle w:val="31"/>
        <w:tblpPr w:leftFromText="180" w:rightFromText="180" w:vertAnchor="text" w:horzAnchor="page" w:tblpX="1484" w:tblpY="239"/>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111"/>
        <w:gridCol w:w="5059"/>
        <w:gridCol w:w="1150"/>
        <w:gridCol w:w="28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45" w:hRule="atLeast"/>
        </w:trPr>
        <w:tc>
          <w:tcPr>
            <w:tcW w:w="1111"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rPr>
                <w:color w:val="auto"/>
                <w:highlight w:val="none"/>
              </w:rPr>
            </w:pPr>
            <w:r>
              <w:rPr>
                <w:rStyle w:val="34"/>
                <w:rFonts w:hint="eastAsia" w:ascii="宋体" w:hAnsi="宋体" w:eastAsia="宋体" w:cs="宋体"/>
                <w:color w:val="auto"/>
                <w:sz w:val="22"/>
                <w:szCs w:val="22"/>
                <w:highlight w:val="none"/>
              </w:rPr>
              <w:t>位置</w:t>
            </w:r>
          </w:p>
        </w:tc>
        <w:tc>
          <w:tcPr>
            <w:tcW w:w="5059"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rPr>
                <w:color w:val="auto"/>
                <w:highlight w:val="none"/>
              </w:rPr>
            </w:pPr>
            <w:r>
              <w:rPr>
                <w:rStyle w:val="34"/>
                <w:rFonts w:hint="eastAsia" w:ascii="宋体" w:hAnsi="宋体" w:eastAsia="宋体" w:cs="宋体"/>
                <w:color w:val="auto"/>
                <w:sz w:val="22"/>
                <w:szCs w:val="22"/>
                <w:highlight w:val="none"/>
              </w:rPr>
              <w:t>工作程序</w:t>
            </w:r>
          </w:p>
        </w:tc>
        <w:tc>
          <w:tcPr>
            <w:tcW w:w="1150"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rPr>
                <w:color w:val="auto"/>
                <w:highlight w:val="none"/>
              </w:rPr>
            </w:pPr>
            <w:r>
              <w:rPr>
                <w:rStyle w:val="34"/>
                <w:rFonts w:hint="eastAsia" w:ascii="宋体" w:hAnsi="宋体" w:eastAsia="宋体" w:cs="宋体"/>
                <w:color w:val="auto"/>
                <w:sz w:val="22"/>
                <w:szCs w:val="22"/>
                <w:highlight w:val="none"/>
              </w:rPr>
              <w:t>质量标准</w:t>
            </w:r>
          </w:p>
        </w:tc>
        <w:tc>
          <w:tcPr>
            <w:tcW w:w="2835" w:type="dxa"/>
            <w:tcBorders>
              <w:top w:val="single" w:color="auto" w:sz="6" w:space="0"/>
              <w:left w:val="nil"/>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rPr>
                <w:color w:val="auto"/>
                <w:highlight w:val="none"/>
              </w:rPr>
            </w:pPr>
            <w:r>
              <w:rPr>
                <w:rStyle w:val="34"/>
                <w:rFonts w:hint="eastAsia" w:ascii="宋体" w:hAnsi="宋体" w:eastAsia="宋体" w:cs="宋体"/>
                <w:color w:val="auto"/>
                <w:sz w:val="22"/>
                <w:szCs w:val="22"/>
                <w:highlight w:val="none"/>
              </w:rPr>
              <w:t>工作频次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780" w:hRule="atLeast"/>
        </w:trPr>
        <w:tc>
          <w:tcPr>
            <w:tcW w:w="1111"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jc w:val="center"/>
              <w:rPr>
                <w:color w:val="auto"/>
                <w:highlight w:val="none"/>
              </w:rPr>
            </w:pPr>
            <w:r>
              <w:rPr>
                <w:rFonts w:hint="eastAsia" w:ascii="宋体" w:hAnsi="宋体" w:eastAsia="宋体" w:cs="宋体"/>
                <w:color w:val="auto"/>
                <w:sz w:val="22"/>
                <w:szCs w:val="22"/>
                <w:highlight w:val="none"/>
              </w:rPr>
              <w:t>停车场（包括楼梯阶）</w:t>
            </w:r>
          </w:p>
        </w:tc>
        <w:tc>
          <w:tcPr>
            <w:tcW w:w="5059"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1、清理设备管道和墙面表面浮尘</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2、清倒垃圾箱</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3、冲洗停车场，清除地面油污</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4、擦抹消防门、扶手、指示牌、广告箱、消防栓箱及灯箱等</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5、清理渗漏水或消防喉管流出积水</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6、清扫车场地面</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7、清理排污井积污坑</w:t>
            </w:r>
          </w:p>
        </w:tc>
        <w:tc>
          <w:tcPr>
            <w:tcW w:w="1150"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color w:val="auto"/>
                <w:highlight w:val="none"/>
              </w:rPr>
            </w:pPr>
            <w:r>
              <w:rPr>
                <w:rFonts w:hint="eastAsia" w:ascii="宋体" w:hAnsi="宋体" w:eastAsia="宋体" w:cs="宋体"/>
                <w:color w:val="auto"/>
                <w:sz w:val="22"/>
                <w:szCs w:val="22"/>
                <w:highlight w:val="none"/>
              </w:rPr>
              <w:t>干净整洁、无垃圾杂物、地面无油污、无积水、无蜘蛛网、目视无积尘</w:t>
            </w:r>
          </w:p>
        </w:tc>
        <w:tc>
          <w:tcPr>
            <w:tcW w:w="283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1、每月一次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2、每日</w:t>
            </w:r>
            <w:r>
              <w:rPr>
                <w:rFonts w:hint="eastAsia" w:ascii="宋体" w:hAnsi="宋体" w:eastAsia="宋体" w:cs="宋体"/>
                <w:color w:val="auto"/>
                <w:sz w:val="22"/>
                <w:szCs w:val="22"/>
                <w:highlight w:val="none"/>
                <w:lang w:eastAsia="zh-CN"/>
              </w:rPr>
              <w:t>二</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3、每月一次地面冲洗、每周一次坡道冲洗，随时处理油污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4、每</w:t>
            </w:r>
            <w:r>
              <w:rPr>
                <w:rFonts w:hint="eastAsia" w:ascii="宋体" w:hAnsi="宋体" w:eastAsia="宋体" w:cs="宋体"/>
                <w:color w:val="auto"/>
                <w:sz w:val="22"/>
                <w:szCs w:val="22"/>
                <w:highlight w:val="none"/>
                <w:lang w:eastAsia="zh-CN"/>
              </w:rPr>
              <w:t>月</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5、每当有需要时</w:t>
            </w:r>
            <w:r>
              <w:rPr>
                <w:rFonts w:hint="eastAsia" w:ascii="宋体" w:hAnsi="宋体" w:eastAsia="宋体" w:cs="宋体"/>
                <w:color w:val="auto"/>
                <w:sz w:val="22"/>
                <w:szCs w:val="22"/>
                <w:highlight w:val="none"/>
                <w:lang w:eastAsia="zh-CN"/>
              </w:rPr>
              <w:t>；</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6、每日二次</w:t>
            </w:r>
            <w:r>
              <w:rPr>
                <w:rFonts w:hint="eastAsia" w:ascii="宋体" w:hAnsi="宋体" w:eastAsia="宋体" w:cs="宋体"/>
                <w:color w:val="auto"/>
                <w:sz w:val="22"/>
                <w:szCs w:val="22"/>
                <w:highlight w:val="none"/>
                <w:lang w:eastAsia="zh-CN"/>
              </w:rPr>
              <w:t>清扫；</w:t>
            </w:r>
          </w:p>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7、每</w:t>
            </w:r>
            <w:r>
              <w:rPr>
                <w:rFonts w:hint="eastAsia" w:ascii="宋体" w:hAnsi="宋体" w:eastAsia="宋体" w:cs="宋体"/>
                <w:color w:val="auto"/>
                <w:sz w:val="22"/>
                <w:szCs w:val="22"/>
                <w:highlight w:val="none"/>
                <w:lang w:eastAsia="zh-CN"/>
              </w:rPr>
              <w:t>月一次。</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eastAsiaTheme="minorEastAsia"/>
          <w:b/>
          <w:bCs/>
          <w:color w:val="auto"/>
          <w:sz w:val="22"/>
          <w:szCs w:val="22"/>
          <w:highlight w:val="none"/>
          <w:lang w:val="en-US" w:eastAsia="zh-CN"/>
        </w:rPr>
      </w:pPr>
      <w:r>
        <w:rPr>
          <w:rFonts w:hint="eastAsia"/>
          <w:b/>
          <w:bCs/>
          <w:color w:val="auto"/>
          <w:sz w:val="22"/>
          <w:szCs w:val="22"/>
          <w:highlight w:val="none"/>
          <w:lang w:val="en-US" w:eastAsia="zh-CN"/>
        </w:rPr>
        <w:t>7、其他部位</w:t>
      </w:r>
    </w:p>
    <w:tbl>
      <w:tblPr>
        <w:tblStyle w:val="31"/>
        <w:tblpPr w:leftFromText="180" w:rightFromText="180" w:vertAnchor="text" w:horzAnchor="page" w:tblpX="1499" w:tblpY="209"/>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3385"/>
        <w:gridCol w:w="3385"/>
        <w:gridCol w:w="338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3385"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jc w:val="center"/>
              <w:rPr>
                <w:color w:val="auto"/>
                <w:highlight w:val="none"/>
              </w:rPr>
            </w:pPr>
            <w:r>
              <w:rPr>
                <w:rStyle w:val="34"/>
                <w:rFonts w:hint="eastAsia" w:ascii="宋体" w:hAnsi="宋体" w:eastAsia="宋体" w:cs="宋体"/>
                <w:color w:val="auto"/>
                <w:sz w:val="22"/>
                <w:szCs w:val="22"/>
                <w:highlight w:val="none"/>
              </w:rPr>
              <w:t>位置</w:t>
            </w:r>
          </w:p>
        </w:tc>
        <w:tc>
          <w:tcPr>
            <w:tcW w:w="3385" w:type="dxa"/>
            <w:tcBorders>
              <w:top w:val="single" w:color="auto" w:sz="6" w:space="0"/>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390" w:right="0"/>
              <w:jc w:val="center"/>
              <w:rPr>
                <w:color w:val="auto"/>
                <w:highlight w:val="none"/>
              </w:rPr>
            </w:pPr>
            <w:r>
              <w:rPr>
                <w:rStyle w:val="34"/>
                <w:rFonts w:hint="eastAsia" w:ascii="宋体" w:hAnsi="宋体" w:eastAsia="宋体" w:cs="宋体"/>
                <w:color w:val="auto"/>
                <w:sz w:val="22"/>
                <w:szCs w:val="22"/>
                <w:highlight w:val="none"/>
              </w:rPr>
              <w:t>质量标准</w:t>
            </w:r>
          </w:p>
        </w:tc>
        <w:tc>
          <w:tcPr>
            <w:tcW w:w="3385" w:type="dxa"/>
            <w:tcBorders>
              <w:top w:val="single" w:color="auto" w:sz="6" w:space="0"/>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150" w:right="0"/>
              <w:jc w:val="center"/>
              <w:rPr>
                <w:color w:val="auto"/>
                <w:highlight w:val="none"/>
              </w:rPr>
            </w:pPr>
            <w:r>
              <w:rPr>
                <w:rStyle w:val="34"/>
                <w:rFonts w:hint="eastAsia" w:ascii="宋体" w:hAnsi="宋体" w:eastAsia="宋体" w:cs="宋体"/>
                <w:color w:val="auto"/>
                <w:sz w:val="22"/>
                <w:szCs w:val="22"/>
                <w:highlight w:val="none"/>
              </w:rPr>
              <w:t>工作频次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lang w:eastAsia="zh-CN"/>
              </w:rPr>
              <w:t>露</w:t>
            </w:r>
            <w:r>
              <w:rPr>
                <w:rFonts w:hint="eastAsia" w:ascii="宋体" w:hAnsi="宋体" w:eastAsia="宋体" w:cs="宋体"/>
                <w:color w:val="auto"/>
                <w:sz w:val="22"/>
                <w:szCs w:val="22"/>
                <w:highlight w:val="none"/>
              </w:rPr>
              <w:t>台</w:t>
            </w:r>
            <w:r>
              <w:rPr>
                <w:rFonts w:hint="eastAsia" w:ascii="宋体" w:hAnsi="宋体" w:eastAsia="宋体" w:cs="宋体"/>
                <w:color w:val="auto"/>
                <w:sz w:val="22"/>
                <w:szCs w:val="22"/>
                <w:highlight w:val="none"/>
                <w:lang w:eastAsia="zh-CN"/>
              </w:rPr>
              <w:t>、楼顶平台</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rPr>
                <w:color w:val="auto"/>
                <w:highlight w:val="none"/>
              </w:rPr>
            </w:pPr>
            <w:r>
              <w:rPr>
                <w:rFonts w:hint="eastAsia" w:ascii="宋体" w:hAnsi="宋体" w:eastAsia="宋体" w:cs="宋体"/>
                <w:color w:val="auto"/>
                <w:sz w:val="22"/>
                <w:szCs w:val="22"/>
                <w:highlight w:val="none"/>
              </w:rPr>
              <w:t>无废弃物、无蛛网</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周三</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清扫；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rPr>
              <w:t>天井</w:t>
            </w:r>
            <w:r>
              <w:rPr>
                <w:rFonts w:hint="eastAsia" w:ascii="宋体" w:hAnsi="宋体" w:eastAsia="宋体" w:cs="宋体"/>
                <w:color w:val="auto"/>
                <w:sz w:val="22"/>
                <w:szCs w:val="22"/>
                <w:highlight w:val="none"/>
                <w:lang w:eastAsia="zh-CN"/>
              </w:rPr>
              <w:t>位置</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rPr>
                <w:color w:val="auto"/>
                <w:highlight w:val="none"/>
              </w:rPr>
            </w:pPr>
            <w:r>
              <w:rPr>
                <w:rFonts w:hint="eastAsia" w:ascii="宋体" w:hAnsi="宋体" w:eastAsia="宋体" w:cs="宋体"/>
                <w:color w:val="auto"/>
                <w:sz w:val="22"/>
                <w:szCs w:val="22"/>
                <w:highlight w:val="none"/>
              </w:rPr>
              <w:t>无废弃物、无积水、无蛛网</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周</w:t>
            </w:r>
            <w:r>
              <w:rPr>
                <w:rFonts w:hint="eastAsia" w:ascii="宋体" w:hAnsi="宋体" w:eastAsia="宋体" w:cs="宋体"/>
                <w:color w:val="auto"/>
                <w:sz w:val="22"/>
                <w:szCs w:val="22"/>
                <w:highlight w:val="none"/>
              </w:rPr>
              <w:t>清理</w:t>
            </w:r>
            <w:r>
              <w:rPr>
                <w:rFonts w:hint="eastAsia" w:ascii="宋体" w:hAnsi="宋体" w:eastAsia="宋体" w:cs="宋体"/>
                <w:color w:val="auto"/>
                <w:sz w:val="22"/>
                <w:szCs w:val="22"/>
                <w:highlight w:val="none"/>
                <w:lang w:eastAsia="zh-CN"/>
              </w:rPr>
              <w:t>二</w:t>
            </w:r>
            <w:r>
              <w:rPr>
                <w:rFonts w:hint="eastAsia" w:ascii="宋体" w:hAnsi="宋体" w:eastAsia="宋体" w:cs="宋体"/>
                <w:color w:val="auto"/>
                <w:sz w:val="22"/>
                <w:szCs w:val="22"/>
                <w:highlight w:val="none"/>
              </w:rPr>
              <w:t>次</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jc w:val="center"/>
              <w:rPr>
                <w:color w:val="auto"/>
                <w:highlight w:val="none"/>
              </w:rPr>
            </w:pPr>
            <w:r>
              <w:rPr>
                <w:rFonts w:hint="eastAsia" w:ascii="宋体" w:hAnsi="宋体" w:eastAsia="宋体" w:cs="宋体"/>
                <w:color w:val="auto"/>
                <w:sz w:val="22"/>
                <w:szCs w:val="22"/>
                <w:highlight w:val="none"/>
              </w:rPr>
              <w:t>不锈钢（铜）、铝质品</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rPr>
                <w:color w:val="auto"/>
                <w:highlight w:val="none"/>
              </w:rPr>
            </w:pPr>
            <w:r>
              <w:rPr>
                <w:rFonts w:hint="eastAsia" w:ascii="宋体" w:hAnsi="宋体" w:eastAsia="宋体" w:cs="宋体"/>
                <w:color w:val="auto"/>
                <w:sz w:val="22"/>
                <w:szCs w:val="22"/>
                <w:highlight w:val="none"/>
              </w:rPr>
              <w:t>无污迹、表面光洁</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3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每当有需要时</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rFonts w:hint="eastAsia" w:eastAsia="宋体"/>
                <w:color w:val="auto"/>
                <w:highlight w:val="none"/>
                <w:lang w:eastAsia="zh-CN"/>
              </w:rPr>
            </w:pPr>
            <w:r>
              <w:rPr>
                <w:rFonts w:hint="eastAsia" w:ascii="宋体" w:hAnsi="宋体" w:eastAsia="宋体" w:cs="宋体"/>
                <w:color w:val="auto"/>
                <w:sz w:val="22"/>
                <w:szCs w:val="22"/>
                <w:highlight w:val="none"/>
              </w:rPr>
              <w:t>高低空玻璃</w:t>
            </w:r>
            <w:r>
              <w:rPr>
                <w:rFonts w:hint="eastAsia" w:ascii="宋体" w:hAnsi="宋体" w:eastAsia="宋体" w:cs="宋体"/>
                <w:color w:val="auto"/>
                <w:sz w:val="22"/>
                <w:szCs w:val="22"/>
                <w:highlight w:val="none"/>
                <w:lang w:eastAsia="zh-CN"/>
              </w:rPr>
              <w:t>、雨棚</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auto"/>
                <w:highlight w:val="none"/>
              </w:rPr>
            </w:pPr>
            <w:r>
              <w:rPr>
                <w:rFonts w:hint="eastAsia" w:ascii="宋体" w:hAnsi="宋体" w:eastAsia="宋体" w:cs="宋体"/>
                <w:color w:val="auto"/>
                <w:sz w:val="22"/>
                <w:szCs w:val="22"/>
                <w:highlight w:val="none"/>
              </w:rPr>
              <w:t>无污迹、无积尘、表面光洁</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w:t>
            </w:r>
            <w:r>
              <w:rPr>
                <w:rFonts w:hint="eastAsia" w:ascii="宋体" w:hAnsi="宋体" w:eastAsia="宋体" w:cs="宋体"/>
                <w:color w:val="auto"/>
                <w:sz w:val="22"/>
                <w:szCs w:val="22"/>
                <w:highlight w:val="none"/>
                <w:lang w:eastAsia="zh-CN"/>
              </w:rPr>
              <w:t>月</w:t>
            </w:r>
            <w:r>
              <w:rPr>
                <w:rFonts w:hint="eastAsia" w:ascii="宋体" w:hAnsi="宋体" w:eastAsia="宋体" w:cs="宋体"/>
                <w:color w:val="auto"/>
                <w:sz w:val="22"/>
                <w:szCs w:val="22"/>
                <w:highlight w:val="none"/>
              </w:rPr>
              <w:t>一次</w:t>
            </w:r>
            <w:r>
              <w:rPr>
                <w:rFonts w:hint="eastAsia" w:ascii="宋体" w:hAnsi="宋体" w:eastAsia="宋体" w:cs="宋体"/>
                <w:color w:val="auto"/>
                <w:sz w:val="22"/>
                <w:szCs w:val="22"/>
                <w:highlight w:val="none"/>
                <w:lang w:eastAsia="zh-CN"/>
              </w:rPr>
              <w:t>清洗</w:t>
            </w:r>
            <w:r>
              <w:rPr>
                <w:rFonts w:hint="eastAsia" w:ascii="宋体" w:hAnsi="宋体" w:eastAsia="宋体" w:cs="宋体"/>
                <w:color w:val="auto"/>
                <w:sz w:val="22"/>
                <w:szCs w:val="22"/>
                <w:highlight w:val="none"/>
              </w:rPr>
              <w:t>（部分高空玻璃幕墙视管理区域实际情况进行清洗）</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rPr>
              <w:t>排水沟（明沟）</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auto"/>
                <w:highlight w:val="none"/>
              </w:rPr>
            </w:pPr>
            <w:r>
              <w:rPr>
                <w:rFonts w:hint="eastAsia" w:ascii="宋体" w:hAnsi="宋体" w:eastAsia="宋体" w:cs="宋体"/>
                <w:color w:val="auto"/>
                <w:sz w:val="22"/>
                <w:szCs w:val="22"/>
                <w:highlight w:val="none"/>
              </w:rPr>
              <w:t>无淤泥、排水通畅</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每月一次</w:t>
            </w:r>
            <w:r>
              <w:rPr>
                <w:rFonts w:hint="eastAsia" w:ascii="宋体" w:hAnsi="宋体" w:eastAsia="宋体" w:cs="宋体"/>
                <w:color w:val="auto"/>
                <w:sz w:val="22"/>
                <w:szCs w:val="22"/>
                <w:highlight w:val="none"/>
                <w:lang w:eastAsia="zh-CN"/>
              </w:rPr>
              <w:t>清理</w:t>
            </w:r>
            <w:r>
              <w:rPr>
                <w:rFonts w:hint="eastAsia" w:ascii="宋体" w:hAnsi="宋体" w:eastAsia="宋体" w:cs="宋体"/>
                <w:color w:val="auto"/>
                <w:sz w:val="22"/>
                <w:szCs w:val="22"/>
                <w:highlight w:val="none"/>
              </w:rPr>
              <w:t>，视实际情况机动调整</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rPr>
              <w:t>雨、污水井</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auto"/>
                <w:highlight w:val="none"/>
              </w:rPr>
            </w:pPr>
            <w:r>
              <w:rPr>
                <w:rFonts w:hint="eastAsia" w:ascii="宋体" w:hAnsi="宋体" w:eastAsia="宋体" w:cs="宋体"/>
                <w:color w:val="auto"/>
                <w:sz w:val="22"/>
                <w:szCs w:val="22"/>
                <w:highlight w:val="none"/>
              </w:rPr>
              <w:t>无淤泥、排水通畅</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每月检查一次，视检查情况及时清掏疏通</w:t>
            </w:r>
            <w:r>
              <w:rPr>
                <w:rFonts w:hint="eastAsia" w:ascii="宋体" w:hAnsi="宋体" w:eastAsia="宋体" w:cs="宋体"/>
                <w:color w:val="auto"/>
                <w:sz w:val="22"/>
                <w:szCs w:val="22"/>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rPr>
              <w:t>化粪池</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auto"/>
                <w:highlight w:val="none"/>
              </w:rPr>
            </w:pPr>
            <w:r>
              <w:rPr>
                <w:rFonts w:hint="eastAsia" w:ascii="宋体" w:hAnsi="宋体" w:eastAsia="宋体" w:cs="宋体"/>
                <w:color w:val="auto"/>
                <w:sz w:val="22"/>
                <w:szCs w:val="22"/>
                <w:highlight w:val="none"/>
              </w:rPr>
              <w:t>排水通畅、无大量积聚污物</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每月检查一次，</w:t>
            </w:r>
            <w:r>
              <w:rPr>
                <w:rFonts w:hint="eastAsia" w:ascii="宋体" w:hAnsi="宋体" w:eastAsia="宋体" w:cs="宋体"/>
                <w:color w:val="auto"/>
                <w:sz w:val="22"/>
                <w:szCs w:val="22"/>
                <w:highlight w:val="none"/>
                <w:lang w:eastAsia="zh-CN"/>
              </w:rPr>
              <w:t>每半年清掏一次；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3385"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jc w:val="center"/>
              <w:rPr>
                <w:color w:val="auto"/>
                <w:highlight w:val="none"/>
              </w:rPr>
            </w:pPr>
            <w:r>
              <w:rPr>
                <w:rFonts w:hint="eastAsia" w:ascii="宋体" w:hAnsi="宋体" w:eastAsia="宋体" w:cs="宋体"/>
                <w:color w:val="auto"/>
                <w:sz w:val="22"/>
                <w:szCs w:val="22"/>
                <w:highlight w:val="none"/>
              </w:rPr>
              <w:t>外墙面</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color w:val="auto"/>
                <w:highlight w:val="none"/>
              </w:rPr>
            </w:pPr>
            <w:r>
              <w:rPr>
                <w:rFonts w:hint="eastAsia" w:ascii="宋体" w:hAnsi="宋体" w:eastAsia="宋体" w:cs="宋体"/>
                <w:color w:val="auto"/>
                <w:sz w:val="22"/>
                <w:szCs w:val="22"/>
                <w:highlight w:val="none"/>
              </w:rPr>
              <w:t>无污迹、无积尘、无蛛网</w:t>
            </w:r>
          </w:p>
        </w:tc>
        <w:tc>
          <w:tcPr>
            <w:tcW w:w="3385"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15"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视管理区域实际情况进行清洗</w:t>
            </w:r>
            <w:r>
              <w:rPr>
                <w:rFonts w:hint="eastAsia" w:ascii="宋体" w:hAnsi="宋体" w:eastAsia="宋体" w:cs="宋体"/>
                <w:color w:val="auto"/>
                <w:sz w:val="22"/>
                <w:szCs w:val="22"/>
                <w:highlight w:val="none"/>
                <w:lang w:eastAsia="zh-CN"/>
              </w:rPr>
              <w:t>。</w:t>
            </w:r>
          </w:p>
        </w:tc>
      </w:tr>
    </w:tbl>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b/>
          <w:bCs/>
          <w:color w:val="auto"/>
          <w:sz w:val="22"/>
          <w:szCs w:val="22"/>
          <w:highlight w:val="none"/>
          <w:lang w:val="en-US" w:eastAsia="zh-CN"/>
        </w:rPr>
      </w:pP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eastAsia" w:eastAsiaTheme="minorEastAsia"/>
          <w:b/>
          <w:bCs/>
          <w:color w:val="auto"/>
          <w:sz w:val="22"/>
          <w:szCs w:val="22"/>
          <w:highlight w:val="none"/>
          <w:lang w:val="en-US" w:eastAsia="zh-CN"/>
        </w:rPr>
      </w:pPr>
      <w:r>
        <w:rPr>
          <w:rFonts w:hint="eastAsia"/>
          <w:b/>
          <w:bCs/>
          <w:color w:val="auto"/>
          <w:sz w:val="22"/>
          <w:szCs w:val="22"/>
          <w:highlight w:val="none"/>
          <w:lang w:val="en-US" w:eastAsia="zh-CN"/>
        </w:rPr>
        <w:t>8、消杀标准</w:t>
      </w:r>
    </w:p>
    <w:p>
      <w:pPr>
        <w:pStyle w:val="2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color w:val="auto"/>
          <w:highlight w:val="none"/>
        </w:rPr>
      </w:pPr>
    </w:p>
    <w:tbl>
      <w:tblPr>
        <w:tblStyle w:val="31"/>
        <w:tblpPr w:leftFromText="180" w:rightFromText="180" w:vertAnchor="text" w:horzAnchor="page" w:tblpX="1454" w:tblpY="314"/>
        <w:tblOverlap w:val="never"/>
        <w:tblW w:w="1015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893"/>
        <w:gridCol w:w="82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PrEx>
        <w:tc>
          <w:tcPr>
            <w:tcW w:w="1893" w:type="dxa"/>
            <w:tcBorders>
              <w:top w:val="single" w:color="auto" w:sz="6" w:space="0"/>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Style w:val="34"/>
                <w:rFonts w:hint="eastAsia" w:ascii="宋体" w:hAnsi="宋体" w:eastAsia="宋体" w:cs="宋体"/>
                <w:color w:val="auto"/>
                <w:sz w:val="22"/>
                <w:szCs w:val="22"/>
                <w:highlight w:val="none"/>
              </w:rPr>
              <w:t>内容</w:t>
            </w:r>
          </w:p>
        </w:tc>
        <w:tc>
          <w:tcPr>
            <w:tcW w:w="8262" w:type="dxa"/>
            <w:tcBorders>
              <w:top w:val="single" w:color="auto" w:sz="6" w:space="0"/>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Style w:val="34"/>
                <w:rFonts w:hint="eastAsia" w:ascii="宋体" w:hAnsi="宋体" w:eastAsia="宋体" w:cs="宋体"/>
                <w:color w:val="auto"/>
                <w:sz w:val="22"/>
                <w:szCs w:val="22"/>
                <w:highlight w:val="none"/>
              </w:rPr>
              <w:t>检验标准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420" w:hRule="atLeast"/>
        </w:trPr>
        <w:tc>
          <w:tcPr>
            <w:tcW w:w="189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灭鼠</w:t>
            </w:r>
          </w:p>
        </w:tc>
        <w:tc>
          <w:tcPr>
            <w:tcW w:w="826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楼道无明显鼠迹、绿化带内无鼠洞</w:t>
            </w:r>
            <w:r>
              <w:rPr>
                <w:rFonts w:hint="eastAsia" w:ascii="宋体" w:hAnsi="宋体" w:eastAsia="宋体" w:cs="宋体"/>
                <w:color w:val="auto"/>
                <w:sz w:val="22"/>
                <w:szCs w:val="22"/>
                <w:highlight w:val="none"/>
                <w:lang w:eastAsia="zh-CN"/>
              </w:rPr>
              <w:t>，（每季一次）；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9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灭蚊</w:t>
            </w:r>
          </w:p>
        </w:tc>
        <w:tc>
          <w:tcPr>
            <w:tcW w:w="826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管理区域内无明显蚊虫在飞</w:t>
            </w:r>
            <w:r>
              <w:rPr>
                <w:rFonts w:hint="eastAsia" w:ascii="宋体" w:hAnsi="宋体" w:eastAsia="宋体" w:cs="宋体"/>
                <w:color w:val="auto"/>
                <w:sz w:val="22"/>
                <w:szCs w:val="22"/>
                <w:highlight w:val="none"/>
                <w:lang w:eastAsia="zh-CN"/>
              </w:rPr>
              <w:t>（夏季：每周一次）；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9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灭蝇</w:t>
            </w:r>
          </w:p>
        </w:tc>
        <w:tc>
          <w:tcPr>
            <w:tcW w:w="826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管理区域内无蝇蛆孳生，无明显苍蝇</w:t>
            </w:r>
            <w:r>
              <w:rPr>
                <w:rFonts w:hint="eastAsia" w:ascii="宋体" w:hAnsi="宋体" w:eastAsia="宋体" w:cs="宋体"/>
                <w:color w:val="auto"/>
                <w:sz w:val="22"/>
                <w:szCs w:val="22"/>
                <w:highlight w:val="none"/>
                <w:lang w:eastAsia="zh-CN"/>
              </w:rPr>
              <w:t>（夏季：每月一次）；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c>
          <w:tcPr>
            <w:tcW w:w="1893" w:type="dxa"/>
            <w:tcBorders>
              <w:top w:val="nil"/>
              <w:left w:val="single" w:color="auto" w:sz="6" w:space="0"/>
              <w:bottom w:val="single" w:color="auto" w:sz="6" w:space="0"/>
              <w:right w:val="single" w:color="auto" w:sz="6" w:space="0"/>
            </w:tcBorders>
            <w:shd w:val="clear" w:color="auto" w:fill="auto"/>
            <w:tcMar>
              <w:left w:w="105" w:type="dxa"/>
              <w:right w:w="105" w:type="dxa"/>
            </w:tcMar>
            <w:vAlign w:val="center"/>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jc w:val="center"/>
              <w:rPr>
                <w:color w:val="auto"/>
                <w:highlight w:val="none"/>
              </w:rPr>
            </w:pPr>
            <w:r>
              <w:rPr>
                <w:rFonts w:hint="eastAsia" w:ascii="宋体" w:hAnsi="宋体" w:eastAsia="宋体" w:cs="宋体"/>
                <w:color w:val="auto"/>
                <w:sz w:val="22"/>
                <w:szCs w:val="22"/>
                <w:highlight w:val="none"/>
              </w:rPr>
              <w:t>灭蟑螂</w:t>
            </w:r>
          </w:p>
        </w:tc>
        <w:tc>
          <w:tcPr>
            <w:tcW w:w="8262" w:type="dxa"/>
            <w:tcBorders>
              <w:top w:val="nil"/>
              <w:left w:val="nil"/>
              <w:bottom w:val="single" w:color="auto" w:sz="6" w:space="0"/>
              <w:right w:val="single" w:color="auto" w:sz="6" w:space="0"/>
            </w:tcBorders>
            <w:shd w:val="clear" w:color="auto" w:fill="auto"/>
            <w:tcMar>
              <w:left w:w="105" w:type="dxa"/>
              <w:right w:w="105" w:type="dxa"/>
            </w:tcMar>
            <w:vAlign w:val="top"/>
          </w:tcPr>
          <w:p>
            <w:pPr>
              <w:pStyle w:val="26"/>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60" w:lineRule="atLeast"/>
              <w:ind w:left="0" w:right="0"/>
              <w:rPr>
                <w:rFonts w:hint="eastAsia" w:eastAsia="宋体"/>
                <w:color w:val="auto"/>
                <w:highlight w:val="none"/>
                <w:lang w:eastAsia="zh-CN"/>
              </w:rPr>
            </w:pPr>
            <w:r>
              <w:rPr>
                <w:rFonts w:hint="eastAsia" w:ascii="宋体" w:hAnsi="宋体" w:eastAsia="宋体" w:cs="宋体"/>
                <w:color w:val="auto"/>
                <w:sz w:val="22"/>
                <w:szCs w:val="22"/>
                <w:highlight w:val="none"/>
              </w:rPr>
              <w:t>办公区域、库房、食堂、污水井、垃圾桶无蟑螂</w:t>
            </w:r>
            <w:r>
              <w:rPr>
                <w:rFonts w:hint="eastAsia" w:ascii="宋体" w:hAnsi="宋体" w:eastAsia="宋体" w:cs="宋体"/>
                <w:color w:val="auto"/>
                <w:sz w:val="22"/>
                <w:szCs w:val="22"/>
                <w:highlight w:val="none"/>
                <w:lang w:eastAsia="zh-CN"/>
              </w:rPr>
              <w:t>（每月一次）。</w:t>
            </w:r>
          </w:p>
        </w:tc>
      </w:tr>
    </w:tbl>
    <w:p>
      <w:pPr>
        <w:pStyle w:val="9"/>
        <w:ind w:left="680" w:leftChars="200" w:firstLine="0" w:firstLineChars="0"/>
        <w:rPr>
          <w:rFonts w:hint="eastAsia" w:asciiTheme="minorEastAsia" w:hAnsiTheme="minorEastAsia" w:eastAsiaTheme="minorEastAsia" w:cstheme="minorEastAsia"/>
          <w:b w:val="0"/>
          <w:bCs w:val="0"/>
          <w:color w:val="auto"/>
          <w:sz w:val="22"/>
          <w:szCs w:val="22"/>
          <w:highlight w:val="none"/>
          <w:lang w:eastAsia="zh-CN"/>
        </w:rPr>
      </w:pPr>
    </w:p>
    <w:p>
      <w:pPr>
        <w:pStyle w:val="9"/>
        <w:ind w:left="680" w:leftChars="200" w:firstLine="0" w:firstLineChars="0"/>
        <w:rPr>
          <w:rFonts w:hint="eastAsia" w:asciiTheme="minorEastAsia" w:hAnsiTheme="minorEastAsia" w:eastAsiaTheme="minorEastAsia" w:cstheme="minorEastAsia"/>
          <w:b w:val="0"/>
          <w:bCs w:val="0"/>
          <w:color w:val="auto"/>
          <w:sz w:val="22"/>
          <w:szCs w:val="22"/>
          <w:highlight w:val="none"/>
          <w:lang w:eastAsia="zh-CN"/>
        </w:rPr>
      </w:pPr>
    </w:p>
    <w:p>
      <w:pPr>
        <w:pStyle w:val="9"/>
        <w:ind w:left="680" w:leftChars="200" w:right="105" w:firstLine="0" w:firstLineChars="0"/>
        <w:rPr>
          <w:rFonts w:hint="eastAsia" w:asciiTheme="minorEastAsia" w:hAnsiTheme="minorEastAsia" w:eastAsiaTheme="minorEastAsia" w:cstheme="minorEastAsia"/>
          <w:b/>
          <w:color w:val="auto"/>
          <w:sz w:val="24"/>
          <w:highlight w:val="none"/>
        </w:rPr>
      </w:pPr>
      <w:r>
        <w:rPr>
          <w:rFonts w:hint="eastAsia" w:asciiTheme="minorEastAsia" w:hAnsiTheme="minorEastAsia" w:eastAsiaTheme="minorEastAsia" w:cstheme="minorEastAsia"/>
          <w:b/>
          <w:color w:val="auto"/>
          <w:sz w:val="24"/>
          <w:highlight w:val="none"/>
        </w:rPr>
        <w:t>足做无</w:t>
      </w:r>
    </w:p>
    <w:p>
      <w:pPr>
        <w:pStyle w:val="9"/>
        <w:ind w:left="680" w:leftChars="200" w:right="105" w:firstLine="0" w:firstLineChars="0"/>
        <w:rPr>
          <w:rFonts w:hint="default" w:asciiTheme="minorEastAsia" w:hAnsiTheme="minorEastAsia" w:eastAsiaTheme="minorEastAsia" w:cstheme="minorEastAsia"/>
          <w:b/>
          <w:color w:val="auto"/>
          <w:sz w:val="24"/>
          <w:highlight w:val="none"/>
          <w:lang w:val="en-US" w:eastAsia="zh-CN"/>
        </w:rPr>
      </w:pPr>
      <w:r>
        <w:rPr>
          <w:rFonts w:hint="eastAsia" w:asciiTheme="minorEastAsia" w:hAnsiTheme="minorEastAsia" w:eastAsiaTheme="minorEastAsia" w:cstheme="minorEastAsia"/>
          <w:b/>
          <w:color w:val="auto"/>
          <w:sz w:val="24"/>
          <w:highlight w:val="none"/>
          <w:lang w:val="en-US" w:eastAsia="zh-CN"/>
        </w:rPr>
        <w:t>4、绿化养护内容及标准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二、绿化养护</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(一)绿化服务范围</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1.商住小区绿化养护服务包括绿化养护里的修枝、整形、病虫害防治、施肥、浇水、扯草、植树、补栽、清理枯枝、排水工作、做好树木防汛防台前后的检查工、肥水管理等综合服务,具体服务范围及内容如下:</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1)对本养护项目实施养护管理所用的一切劳动力、材料设备和服装由承包单位自行承担。</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2)绿化养护期限内,养护项目设施量发生减少及毁损的,承包单位应及时补齐或修复(补栽同类的植物),并自行承担所需费用。合同期限届满时,承包单位应保证养护项目设施量完好无损。未完好的,由承包单位负责补齐或修复。届时,未补齐或修复的,甲方可自行或委托他人补齐或修复,费用由承包单位负责。</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3)承包单位应定期向甲方汇报养护管理计划及有关措施。</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4)承包单位必须重视安全生产,确保全年不出安全责任事故,养护期间,养护工人由于操作不规范等因素造成的安全责任事故,由承包单位承担一切责任及损失</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(二)绿化服务标准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1、草地养护服务标准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工具配置:小铁棒、垃圾袋、剪草机、锄头、洞撬、喷灌设施(水车)、喷雾器</w:t>
      </w:r>
      <w:r>
        <w:rPr>
          <w:rFonts w:hint="eastAsia" w:cs="宋体"/>
          <w:i w:val="0"/>
          <w:iCs w:val="0"/>
          <w:caps w:val="0"/>
          <w:color w:val="auto"/>
          <w:spacing w:val="0"/>
          <w:sz w:val="22"/>
          <w:szCs w:val="22"/>
          <w:highlight w:val="none"/>
          <w:lang w:eastAsia="zh-CN"/>
        </w:rPr>
        <w:t>等</w:t>
      </w:r>
      <w:r>
        <w:rPr>
          <w:rFonts w:hint="eastAsia" w:ascii="宋体" w:hAnsi="宋体" w:eastAsia="宋体" w:cs="宋体"/>
          <w:i w:val="0"/>
          <w:iCs w:val="0"/>
          <w:caps w:val="0"/>
          <w:color w:val="auto"/>
          <w:spacing w:val="0"/>
          <w:sz w:val="22"/>
          <w:szCs w:val="22"/>
          <w:highlight w:val="none"/>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工作内容</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在生长季节(4—10月),每月除杂草3次,非生长季节每月除杂草1—2次,要求连根拔除。</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修剪修边:草坪高度控制在5厘米以内,目的草坪高度一致,4</w:t>
      </w:r>
      <w:r>
        <w:rPr>
          <w:rFonts w:hint="eastAsia"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5月、8—9月沿侧石路牙各修边1次,将长出侧石路牙的草去掉。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填坑洼,平整草地:对因市政工程等各种原因遭到破坏的草坪,及时进行平整、填坑洼,对大面积坑洼不大的草坪,利用冬季保绿铺砂填平,以保持绿地平坦。</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补植</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对因市政工程、人为践踏、生长不良等造成的裸露地,及时密植草地并加强保护,保证其迅速长满。</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淋水</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施肥</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草地淋水主要安排在冬季少雨季节,1—2天淋水1次,每年10月份开始至翌年3月份结合淋水撒肥1次(肥料以复合肥、尿素为主)以保持良好的长势,度过进干旱的秋冬季,其他季节根据草地生长情况安排施肥</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检查项目</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草地完好率即草地覆盖率为98%以上,平整无裸露及无坑洼。</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杂草率低于3%,蟛蜞菊无杂草。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草坪长势旺盛,四季常绿。</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草坪高度:草坪植物高度控制在5厘米以内(其他地被植物除外),目的草坪高度一致,整齐美观。</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注意事项:草地管理标准是草坪生长旺盛,草坪整齐雅观,一年四季常绿,呈勃勃生机;无坑洼积水,无裸露地。</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2、花坛(小品)养护服务标准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工具配置:草剪、锄头、洞撬、洒水车等。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工作内容</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松土除杂草</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对于尚未郁闭的花坛,生长季节每月松土1次,除杂草2次,松土深度3</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5cm;非生长季节每月除杂草1次,为防止草坪长入花坛,影响植物生长,每年4</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5月和8</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9月在松土同时进行修边,修边宽度30cm,线条流畅。</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一般每年2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3月份重剪1次,保留30</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50cm,以促进侧枝发牙,以后每个月根据花坛养护标准进行修剪造型,中间高、两边低,中间高度根据品种不同而异,一般50</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80cm,形成曲面并有较好的园林美化效果。</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lang w:eastAsia="zh-CN"/>
        </w:rPr>
        <w:t>施肥</w:t>
      </w:r>
      <w:r>
        <w:rPr>
          <w:rFonts w:hint="eastAsia" w:ascii="宋体" w:hAnsi="宋体" w:eastAsia="宋体" w:cs="宋体"/>
          <w:i w:val="0"/>
          <w:iCs w:val="0"/>
          <w:caps w:val="0"/>
          <w:color w:val="auto"/>
          <w:spacing w:val="0"/>
          <w:sz w:val="22"/>
          <w:szCs w:val="22"/>
          <w:highlight w:val="none"/>
        </w:rPr>
        <w:t>: 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w:t>
      </w:r>
      <w:r>
        <w:rPr>
          <w:rFonts w:hint="eastAsia" w:ascii="宋体" w:hAnsi="宋体" w:eastAsia="宋体" w:cs="宋体"/>
          <w:i w:val="0"/>
          <w:iCs w:val="0"/>
          <w:caps w:val="0"/>
          <w:color w:val="auto"/>
          <w:spacing w:val="0"/>
          <w:sz w:val="22"/>
          <w:szCs w:val="22"/>
          <w:highlight w:val="none"/>
          <w:lang w:eastAsia="zh-CN"/>
        </w:rPr>
        <w:t>月份重剪这后以撒施基肥为主</w:t>
      </w:r>
      <w:r>
        <w:rPr>
          <w:rFonts w:hint="eastAsia" w:ascii="宋体" w:hAnsi="宋体" w:eastAsia="宋体" w:cs="宋体"/>
          <w:i w:val="0"/>
          <w:iCs w:val="0"/>
          <w:caps w:val="0"/>
          <w:color w:val="auto"/>
          <w:spacing w:val="0"/>
          <w:sz w:val="22"/>
          <w:szCs w:val="22"/>
          <w:highlight w:val="none"/>
        </w:rPr>
        <w:t xml:space="preserve"> ,</w:t>
      </w:r>
      <w:r>
        <w:rPr>
          <w:rFonts w:hint="eastAsia" w:ascii="宋体" w:hAnsi="宋体" w:eastAsia="宋体" w:cs="宋体"/>
          <w:i w:val="0"/>
          <w:iCs w:val="0"/>
          <w:caps w:val="0"/>
          <w:color w:val="auto"/>
          <w:spacing w:val="0"/>
          <w:sz w:val="22"/>
          <w:szCs w:val="22"/>
          <w:highlight w:val="none"/>
          <w:lang w:val="en-US" w:eastAsia="zh-CN"/>
        </w:rPr>
        <w:t>0.1-</w:t>
      </w:r>
      <w:r>
        <w:rPr>
          <w:rFonts w:hint="eastAsia" w:ascii="宋体" w:hAnsi="宋体" w:eastAsia="宋体" w:cs="宋体"/>
          <w:i w:val="0"/>
          <w:iCs w:val="0"/>
          <w:caps w:val="0"/>
          <w:color w:val="auto"/>
          <w:spacing w:val="0"/>
          <w:sz w:val="22"/>
          <w:szCs w:val="22"/>
          <w:highlight w:val="none"/>
        </w:rPr>
        <w:t>0.15kg</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以后根据生长情况用复合肥进行追肥,结合雨天洒施0.1—0.15kg/</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,晴天施肥方法以撒施为主。</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补植</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对因市政工程、人为践踏、养护不当等造成的死苗要及时补植,一般应补回原来品种,并力求规格与原来相近。</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淋水:补植后一个星期内每天淋水1次,施肥时加强淋水,一般情况下2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3天淋水1次。</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检查项目</w:t>
      </w:r>
      <w:r>
        <w:rPr>
          <w:rFonts w:hint="eastAsia"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花坛完整情况:有无缺株、残缺。</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生长情况:长势旺盛,无病虫害发生。</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修剪造型:要有一定的园林效果。</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开花:开花植物,开花准时、艳丽,花朵覆盖率50%以上。</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土壤:疏松,无杂草。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注意事项:生长旺盛,花繁叶茂,修剪精细美观,具有艺术感和创意。</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3、地被植物养护服务标准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工具配置:锄头、镰刀、喷雾、洒水车等。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工作内容:</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松土除杂草:4</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10月每个月松土除杂草1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2次,11月底次年3月份每个月除杂草、松土1次,并在4</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5月和8</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9月进行修边,修边宽度30cm,以防止草地长入</w:t>
      </w:r>
      <w:r>
        <w:rPr>
          <w:rFonts w:hint="eastAsia" w:cs="宋体"/>
          <w:i w:val="0"/>
          <w:iCs w:val="0"/>
          <w:caps w:val="0"/>
          <w:color w:val="auto"/>
          <w:spacing w:val="0"/>
          <w:sz w:val="22"/>
          <w:szCs w:val="22"/>
          <w:highlight w:val="none"/>
          <w:lang w:eastAsia="zh-CN"/>
        </w:rPr>
        <w:t>乔木内</w:t>
      </w:r>
      <w:r>
        <w:rPr>
          <w:rFonts w:hint="eastAsia" w:ascii="宋体" w:hAnsi="宋体" w:eastAsia="宋体" w:cs="宋体"/>
          <w:i w:val="0"/>
          <w:iCs w:val="0"/>
          <w:caps w:val="0"/>
          <w:color w:val="auto"/>
          <w:spacing w:val="0"/>
          <w:sz w:val="22"/>
          <w:szCs w:val="22"/>
          <w:highlight w:val="none"/>
        </w:rPr>
        <w:t>,影响地被植物生长。</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修剪:3</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5天修剪残花、清理枯枝1次,每年4</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5月和8</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9月间苗1次,施肥方法以撒施为主。</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施肥:2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3月份施基1次,0.1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0.15kg/</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,每个月追复合肥主。</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补植:对因市政工程、人为践踏、养护不当等造成的死苗要及时补植,一般应补回原来品种,并力求规格与原来相近。</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淋水:1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2天全面淋水1次,淋水深度3cm以上。</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病虫害防治:预防为主,生长季节(5</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10月)每月喷百菌清或托布津1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2次,并经常观察一旦发现病虫害,立即跟踪防治。</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检查项目:</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长势:生长良好,生机盎然。</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花覆盖率</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如:</w:t>
      </w:r>
      <w:r>
        <w:rPr>
          <w:rFonts w:hint="eastAsia" w:cs="宋体"/>
          <w:i w:val="0"/>
          <w:iCs w:val="0"/>
          <w:caps w:val="0"/>
          <w:color w:val="auto"/>
          <w:spacing w:val="0"/>
          <w:sz w:val="22"/>
          <w:szCs w:val="22"/>
          <w:highlight w:val="none"/>
          <w:lang w:eastAsia="zh-CN"/>
        </w:rPr>
        <w:t>栀子花</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开花覆盖率50%以上。</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无杂草,保持土壤疏松。</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4、绿篱养护服务标准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工具配置:草剪、锄头、手剪、绿篱机、洒水车等。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工作内容:</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松土除杂草:对于尚未郁闭的绿篱每月松土除杂草2次,已郁闭的绿篱每月除寄生藤2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3次,养护面松土除杂草1次,为防止草坪长入,5</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6月和8</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9月各修边1次,修边宽度30cm,修边一定要整齐,有美感。</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修剪整形:保持0.7</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0.8m高,上面平整、边角整齐、线条流畅,新稍10cm以上即须修剪,一般生长季节4</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10月每月修剪整形3次,非生长季节每月修剪2次,对勒杜鹃等开化植物10月份修剪,只进行轻度修剪,以保证开化。</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施肥:每月追复合肥1次,结合雨天进行,每年根据其长势和覆盖率情况适当施基肥1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2次,基肥0.5</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1kg/</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,复合0.1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0.15kg/</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,施肥方法以撒施为主。</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补植:对因市政工程</w:t>
      </w:r>
      <w:r>
        <w:rPr>
          <w:rFonts w:hint="eastAsia"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人为践踏、养护不当等造成的缺株出现绿篱断层,要及时补植,尽量用盆苗尽快封行。</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淋水:施肥和补植需加强淋水,补植后一个星期内每天淋水1次,一般冬季干旱季节安排2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3天淋水1次。</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检查项目</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长势:生长良好。</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完好率:无断层、缺株。</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修剪造型:上面平整、边角线棱角分明、有艺术美感。</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无杂草、寄生藤,绿篱内无垃圾和枯枝落叶堆积。</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生长良好</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修剪精细美观</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具有艺术感。</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注意事项:生长良好,修剪精细美观,具有艺术感。</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5、乔木养护服务标准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工具配置</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草剪、锄头、高枝剪、木梯、护树板、绑带、钳子</w:t>
      </w:r>
      <w:r>
        <w:rPr>
          <w:rFonts w:hint="eastAsia" w:ascii="宋体" w:hAnsi="宋体" w:eastAsia="宋体" w:cs="宋体"/>
          <w:i w:val="0"/>
          <w:iCs w:val="0"/>
          <w:caps w:val="0"/>
          <w:color w:val="auto"/>
          <w:spacing w:val="0"/>
          <w:sz w:val="22"/>
          <w:szCs w:val="22"/>
          <w:highlight w:val="none"/>
          <w:lang w:eastAsia="zh-CN"/>
        </w:rPr>
        <w:t>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工作内容</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修剪:从5月份开始,每月修剪1次</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主要修荫枝、下垂枝、干枯枝、侧缘线以及下缘线</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下缘线高1.8</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2.5m</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开花植物应在花芽萌动前进行,乔木整形要与周围环境协调,以增强园林美化效果。</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val="en-US" w:eastAsia="zh-CN"/>
        </w:rPr>
      </w:pPr>
      <w:r>
        <w:rPr>
          <w:rFonts w:hint="eastAsia" w:ascii="宋体" w:hAnsi="宋体" w:eastAsia="宋体" w:cs="宋体"/>
          <w:i w:val="0"/>
          <w:iCs w:val="0"/>
          <w:caps w:val="0"/>
          <w:color w:val="auto"/>
          <w:spacing w:val="0"/>
          <w:sz w:val="22"/>
          <w:szCs w:val="22"/>
          <w:highlight w:val="none"/>
        </w:rPr>
        <w:t>施肥:一般在2</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3月和8</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9月</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采用对角埋施,肥穴规格30cm*30cm*40cm</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施肥量根据树木种类和生长情况而定</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一般</w:t>
      </w:r>
      <w:r>
        <w:rPr>
          <w:rFonts w:hint="eastAsia" w:ascii="宋体" w:hAnsi="宋体" w:eastAsia="宋体" w:cs="宋体"/>
          <w:i w:val="0"/>
          <w:iCs w:val="0"/>
          <w:caps w:val="0"/>
          <w:color w:val="auto"/>
          <w:spacing w:val="0"/>
          <w:sz w:val="22"/>
          <w:szCs w:val="22"/>
          <w:highlight w:val="none"/>
          <w:lang w:val="en-US" w:eastAsia="zh-CN"/>
        </w:rPr>
        <w:t>2-</w:t>
      </w:r>
      <w:r>
        <w:rPr>
          <w:rFonts w:hint="eastAsia" w:ascii="宋体" w:hAnsi="宋体" w:eastAsia="宋体" w:cs="宋体"/>
          <w:i w:val="0"/>
          <w:iCs w:val="0"/>
          <w:caps w:val="0"/>
          <w:color w:val="auto"/>
          <w:spacing w:val="0"/>
          <w:sz w:val="22"/>
          <w:szCs w:val="22"/>
          <w:highlight w:val="none"/>
        </w:rPr>
        <w:t>3kg/株,施肥种类采用复合肥与花生麸等基肥相结合。</w:t>
      </w:r>
      <w:r>
        <w:rPr>
          <w:rFonts w:hint="eastAsia" w:ascii="宋体" w:hAnsi="宋体" w:eastAsia="宋体" w:cs="宋体"/>
          <w:i w:val="0"/>
          <w:iCs w:val="0"/>
          <w:caps w:val="0"/>
          <w:color w:val="auto"/>
          <w:spacing w:val="0"/>
          <w:sz w:val="22"/>
          <w:szCs w:val="22"/>
          <w:highlight w:val="none"/>
          <w:lang w:val="en-US" w:eastAsia="zh-CN"/>
        </w:rPr>
        <w:t xml:space="preserve"> </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补植:对因市政、病虫害、养护不当等原因造成死亡的树木,应及时清走</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补回与原有树种种类相同、规格基本一致的植株,并加强管理。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加护树桩(板)和绑带:对树桩(板)受到损坏或歪斜须及时进行扶正、加固或更换,同时每年将护树绑带放松1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2次,以防止橡皮带嵌入树皮内。</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松土、整理养护穴:新植乔木,根已经扎深可不留植穴并回填土(棕榈科植物除外)</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淋水:新植乔木及施肥时,要保证足够的水分。新补植乔,1周内每天淋水1次;棕榈科植物在冬季(11月到次年2月)须2天淋水1次。其他乔木冬季3</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5天淋水1次。</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检查项目</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乔木长势</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生长旺盛。</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保存率</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无缺株。</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修剪造型</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下缘线是否整齐,下垂枝、干枝有无修剪。</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养护设施</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护树桩(板)绑带是否整齐、完整。</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注意事项</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乔木管理标准是生长旺盛、枝叶健壮、树形美观、下缘线整齐、干直冠美、无死树缺树、景观效果好。</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6、病虫害防治服务标准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工具配置:普通喷雾器、自动喷雾器、量筒、器皿、车辆等。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工作内容</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以预防为主,定期做好喷药防治工作</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一般在病虫害发生季节4</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10月份,每月对易感植物喷药1</w:t>
      </w:r>
      <w:r>
        <w:rPr>
          <w:rFonts w:hint="eastAsia" w:ascii="宋体" w:hAnsi="宋体" w:eastAsia="宋体" w:cs="宋体"/>
          <w:i w:val="0"/>
          <w:iCs w:val="0"/>
          <w:caps w:val="0"/>
          <w:color w:val="auto"/>
          <w:spacing w:val="0"/>
          <w:sz w:val="22"/>
          <w:szCs w:val="22"/>
          <w:highlight w:val="none"/>
          <w:lang w:val="en-US" w:eastAsia="zh-CN"/>
        </w:rPr>
        <w:t>-</w:t>
      </w:r>
      <w:r>
        <w:rPr>
          <w:rFonts w:hint="eastAsia" w:ascii="宋体" w:hAnsi="宋体" w:eastAsia="宋体" w:cs="宋体"/>
          <w:i w:val="0"/>
          <w:iCs w:val="0"/>
          <w:caps w:val="0"/>
          <w:color w:val="auto"/>
          <w:spacing w:val="0"/>
          <w:sz w:val="22"/>
          <w:szCs w:val="22"/>
          <w:highlight w:val="none"/>
        </w:rPr>
        <w:t>2次</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以喷百菌清、灭杀病威、托布津等为主</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阴香、刺桐等可用速杀丁、氧化乐果等。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经常观察绿地植物、病虫害情况</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,一旦发现立即跟踪防治</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喷药时须先诊断病虫害种类和危害程度</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然后对症下药</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进行跟踪观察</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对于灌木、草地一般用普通喷雾器</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对于乔木和垂直绿化用自动喷雾器。</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喷药如果效果不明显</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应立即更换不同的药物或加大浓度</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直至得到全面控制。</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检查项目</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危害程度</w:t>
      </w:r>
      <w:r>
        <w:rPr>
          <w:rFonts w:hint="eastAsia" w:ascii="宋体" w:hAnsi="宋体" w:eastAsia="宋体" w:cs="宋体"/>
          <w:i w:val="0"/>
          <w:iCs w:val="0"/>
          <w:caps w:val="0"/>
          <w:color w:val="auto"/>
          <w:spacing w:val="0"/>
          <w:sz w:val="22"/>
          <w:szCs w:val="22"/>
          <w:highlight w:val="none"/>
          <w:lang w:eastAsia="zh-CN"/>
        </w:rPr>
        <w:t>：</w:t>
      </w:r>
      <w:r>
        <w:rPr>
          <w:rFonts w:hint="eastAsia" w:ascii="宋体" w:hAnsi="宋体" w:eastAsia="宋体" w:cs="宋体"/>
          <w:i w:val="0"/>
          <w:iCs w:val="0"/>
          <w:caps w:val="0"/>
          <w:color w:val="auto"/>
          <w:spacing w:val="0"/>
          <w:sz w:val="22"/>
          <w:szCs w:val="22"/>
          <w:highlight w:val="none"/>
        </w:rPr>
        <w:t>最严重受害程度不超过8%</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未出现因病虫害造成的景观影响。</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树木虫屎不明显。</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注意事项</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喷药时须带ロ罩,做好安全生产。</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用完的农药必须清走。</w:t>
      </w:r>
    </w:p>
    <w:p>
      <w:pPr>
        <w:pStyle w:val="25"/>
        <w:keepNext w:val="0"/>
        <w:keepLines w:val="0"/>
        <w:pageBreakBefore w:val="0"/>
        <w:widowControl/>
        <w:numPr>
          <w:ilvl w:val="0"/>
          <w:numId w:val="6"/>
        </w:numPr>
        <w:suppressLineNumbers w:val="0"/>
        <w:kinsoku/>
        <w:wordWrap/>
        <w:overflowPunct/>
        <w:topLinePunct w:val="0"/>
        <w:autoSpaceDE/>
        <w:autoSpaceDN/>
        <w:bidi w:val="0"/>
        <w:adjustRightInd/>
        <w:snapToGrid/>
        <w:spacing w:line="360" w:lineRule="auto"/>
        <w:ind w:left="0" w:firstLine="442" w:firstLineChars="200"/>
        <w:textAlignment w:val="auto"/>
        <w:rPr>
          <w:rFonts w:hint="eastAsia" w:ascii="宋体" w:hAnsi="宋体" w:eastAsia="宋体" w:cs="宋体"/>
          <w:b/>
          <w:bCs/>
          <w:i w:val="0"/>
          <w:iCs w:val="0"/>
          <w:caps w:val="0"/>
          <w:color w:val="auto"/>
          <w:spacing w:val="0"/>
          <w:sz w:val="22"/>
          <w:szCs w:val="22"/>
          <w:highlight w:val="none"/>
        </w:rPr>
      </w:pPr>
      <w:r>
        <w:rPr>
          <w:rFonts w:hint="eastAsia" w:ascii="宋体" w:hAnsi="宋体" w:eastAsia="宋体" w:cs="宋体"/>
          <w:b/>
          <w:bCs/>
          <w:i w:val="0"/>
          <w:iCs w:val="0"/>
          <w:caps w:val="0"/>
          <w:color w:val="auto"/>
          <w:spacing w:val="0"/>
          <w:sz w:val="22"/>
          <w:szCs w:val="22"/>
          <w:highlight w:val="none"/>
        </w:rPr>
        <w:t>绿地保洁服务标准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工具配置:小铁锹、垃圾袋、竹耙等。</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工作内容:</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每天上午8:30,下午2:30之前将纸屑、垃圾、杂物等全部清出绿地。</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养护垃圾每天下班前自行清运,进行全天候巡回保洁。</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经常清理绿地石头、杂物,特别是边角杂物要经常进行清理。</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绿化垃圾由养护方负责清运。</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lang w:eastAsia="zh-CN"/>
        </w:rPr>
      </w:pPr>
      <w:r>
        <w:rPr>
          <w:rFonts w:hint="eastAsia" w:ascii="宋体" w:hAnsi="宋体" w:eastAsia="宋体" w:cs="宋体"/>
          <w:i w:val="0"/>
          <w:iCs w:val="0"/>
          <w:caps w:val="0"/>
          <w:color w:val="auto"/>
          <w:spacing w:val="0"/>
          <w:sz w:val="22"/>
          <w:szCs w:val="22"/>
          <w:highlight w:val="none"/>
        </w:rPr>
        <w:t>检查项目</w:t>
      </w:r>
      <w:r>
        <w:rPr>
          <w:rFonts w:hint="eastAsia" w:ascii="宋体" w:hAnsi="宋体" w:eastAsia="宋体" w:cs="宋体"/>
          <w:i w:val="0"/>
          <w:iCs w:val="0"/>
          <w:caps w:val="0"/>
          <w:color w:val="auto"/>
          <w:spacing w:val="0"/>
          <w:sz w:val="22"/>
          <w:szCs w:val="22"/>
          <w:highlight w:val="none"/>
          <w:lang w:eastAsia="zh-CN"/>
        </w:rPr>
        <w:t>：</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每天上午8:30,下午2:30以后绿地中垃圾数量。</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养护垃圾堆放及当天清运情况。</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边角是否有垃圾杂物堆放。</w:t>
      </w:r>
    </w:p>
    <w:p>
      <w:pPr>
        <w:pStyle w:val="25"/>
        <w:keepNext w:val="0"/>
        <w:keepLines w:val="0"/>
        <w:pageBreakBefore w:val="0"/>
        <w:widowControl/>
        <w:suppressLineNumbers w:val="0"/>
        <w:kinsoku/>
        <w:wordWrap/>
        <w:overflowPunct/>
        <w:topLinePunct w:val="0"/>
        <w:autoSpaceDE/>
        <w:autoSpaceDN/>
        <w:bidi w:val="0"/>
        <w:adjustRightInd/>
        <w:snapToGrid/>
        <w:spacing w:line="360" w:lineRule="auto"/>
        <w:ind w:left="0" w:firstLine="440" w:firstLineChars="200"/>
        <w:textAlignment w:val="auto"/>
        <w:rPr>
          <w:rFonts w:hint="eastAsia" w:ascii="宋体" w:hAnsi="宋体" w:eastAsia="宋体" w:cs="宋体"/>
          <w:i w:val="0"/>
          <w:iCs w:val="0"/>
          <w:caps w:val="0"/>
          <w:color w:val="auto"/>
          <w:spacing w:val="0"/>
          <w:sz w:val="22"/>
          <w:szCs w:val="22"/>
          <w:highlight w:val="none"/>
        </w:rPr>
      </w:pPr>
      <w:r>
        <w:rPr>
          <w:rFonts w:hint="eastAsia" w:ascii="宋体" w:hAnsi="宋体" w:eastAsia="宋体" w:cs="宋体"/>
          <w:i w:val="0"/>
          <w:iCs w:val="0"/>
          <w:caps w:val="0"/>
          <w:color w:val="auto"/>
          <w:spacing w:val="0"/>
          <w:sz w:val="22"/>
          <w:szCs w:val="22"/>
          <w:highlight w:val="none"/>
        </w:rPr>
        <w:t>绿地石头垃圾清理情况。</w:t>
      </w:r>
    </w:p>
    <w:p>
      <w:pPr>
        <w:pStyle w:val="9"/>
        <w:ind w:left="0" w:leftChars="0" w:right="105" w:firstLine="0" w:firstLineChars="0"/>
        <w:rPr>
          <w:rFonts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
          <w:color w:val="auto"/>
          <w:sz w:val="24"/>
          <w:highlight w:val="none"/>
          <w:lang w:val="en-US" w:eastAsia="zh-CN"/>
        </w:rPr>
        <w:t>三、商务要求（实质性要求，不满足做无</w:t>
      </w:r>
      <w:r>
        <w:rPr>
          <w:rFonts w:hint="eastAsia" w:asciiTheme="minorEastAsia" w:hAnsiTheme="minorEastAsia" w:eastAsiaTheme="minorEastAsia" w:cstheme="minorEastAsia"/>
          <w:b/>
          <w:color w:val="auto"/>
          <w:sz w:val="24"/>
          <w:highlight w:val="none"/>
        </w:rPr>
        <w:t>效投标处理）</w:t>
      </w:r>
      <w:r>
        <w:rPr>
          <w:rFonts w:hint="eastAsia" w:asciiTheme="minorEastAsia" w:hAnsiTheme="minorEastAsia" w:eastAsiaTheme="minorEastAsia" w:cstheme="minorEastAsia"/>
          <w:b/>
          <w:bCs/>
          <w:color w:val="auto"/>
          <w:sz w:val="24"/>
          <w:szCs w:val="24"/>
          <w:highlight w:val="none"/>
        </w:rPr>
        <w:t>：</w:t>
      </w:r>
    </w:p>
    <w:p>
      <w:pPr>
        <w:pStyle w:val="9"/>
        <w:ind w:left="476" w:leftChars="140" w:right="105" w:firstLine="0" w:firstLineChars="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（一）服务有效期限：合同两年一签。</w:t>
      </w:r>
    </w:p>
    <w:p>
      <w:pPr>
        <w:pStyle w:val="9"/>
        <w:ind w:left="476" w:leftChars="140" w:right="105" w:firstLine="0" w:firstLineChars="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（二）中标供应商须服从招标人的工作安排。</w:t>
      </w:r>
    </w:p>
    <w:p>
      <w:pPr>
        <w:ind w:right="105" w:firstLine="48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（三）付款方式：合同中约定（见合同参考模板）。</w:t>
      </w:r>
    </w:p>
    <w:p>
      <w:pPr>
        <w:pStyle w:val="9"/>
        <w:ind w:right="105" w:firstLine="480"/>
        <w:rPr>
          <w:rFonts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（四）服务期满后，中标人根据招标单位的要求可延续提供1—2个月的服务，费用标准按原合同规定执行。</w:t>
      </w:r>
    </w:p>
    <w:p>
      <w:pPr>
        <w:ind w:right="105" w:firstLine="0" w:firstLineChars="0"/>
        <w:jc w:val="center"/>
        <w:outlineLvl w:val="0"/>
        <w:rPr>
          <w:rFonts w:asciiTheme="majorEastAsia" w:hAnsiTheme="majorEastAsia" w:eastAsiaTheme="majorEastAsia" w:cstheme="majorEastAsia"/>
          <w:b/>
          <w:bCs/>
          <w:color w:val="auto"/>
          <w:sz w:val="32"/>
          <w:szCs w:val="32"/>
          <w:highlight w:val="none"/>
        </w:rPr>
      </w:pPr>
      <w:bookmarkStart w:id="17" w:name="_Toc28341"/>
      <w:r>
        <w:rPr>
          <w:rFonts w:hint="eastAsia" w:asciiTheme="majorEastAsia" w:hAnsiTheme="majorEastAsia" w:eastAsiaTheme="majorEastAsia" w:cstheme="majorEastAsia"/>
          <w:b/>
          <w:bCs/>
          <w:color w:val="auto"/>
          <w:sz w:val="32"/>
          <w:szCs w:val="32"/>
          <w:highlight w:val="none"/>
        </w:rPr>
        <w:t>第四章  评标办法</w:t>
      </w:r>
      <w:bookmarkEnd w:id="17"/>
    </w:p>
    <w:p>
      <w:pPr>
        <w:ind w:right="105" w:firstLine="482"/>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1. 总则</w:t>
      </w:r>
    </w:p>
    <w:p>
      <w:pPr>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1.1 评标工作由招标人负责组织，具体评标事务由依法组建的评标小组负责。</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Cs/>
          <w:color w:val="auto"/>
          <w:sz w:val="24"/>
          <w:szCs w:val="24"/>
          <w:highlight w:val="none"/>
        </w:rPr>
        <w:t>1.2 评标工作应遵循公平、公正、科学及择优的原则，并以相同的评标程序和标</w:t>
      </w:r>
      <w:r>
        <w:rPr>
          <w:rFonts w:hint="eastAsia" w:asciiTheme="majorEastAsia" w:hAnsiTheme="majorEastAsia" w:eastAsiaTheme="majorEastAsia" w:cstheme="majorEastAsia"/>
          <w:color w:val="auto"/>
          <w:sz w:val="24"/>
          <w:szCs w:val="24"/>
          <w:highlight w:val="none"/>
        </w:rPr>
        <w:t>准对待所有的投标人。</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1.3 评标小组按照</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规定的评标方法和标准进行评标，并独立履行下列职责：</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（一）熟悉和理解</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（二）审查投标人投标文件等是否满足</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要求，并作出评价；</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（三）根据需要要求招标单位对</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作出解释；根据需要要求投标人对投标文件有关事项作出澄清、说明或者更正；</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（四）推荐中标候选人，或者受招标人委托确定中标人；</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（五）起草评标报告并进行签署；</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（六）向招标采购单位或者其他监督部门报告非法干预评标工作的行为；</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（七）法律法规和规章规定的其他职责。</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1.4 评标过程独立、保密。投标人非法干预评标过程的行为将导致其投标文件作为无效处理。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1.5评标小组评价投标文件的响应性，对于投标人而言，除评标小组要求其澄清、说明或者更正而提供的资料外，仅依据投标文件本身的内容，不寻求其他外部证据。</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2. 评标方法</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本项目评标方法为：综合评分法。</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3. 评标程序</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3.1 熟悉并理解招标文件，以及停止评标的条件。</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3.1.1在正式评标前，评标小组需深入熟悉并理解招标文件，内容涵盖投标人资格条件、采购项目的技术、服务和商务要求，评标方法和标准，以及可能涉及的合同签订内容等。</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3.1.2评标小组熟悉和理解</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以及评标过程中，发现本</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有下列情形之一的，评标小组应当停止评标：</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（1）招标文件的规定存在重大歧义、重大缺陷，继续评标将损害招标人利益的；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明显以不合理条件对投标人实行差别待遇或者歧视待遇的；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有违反国家其他有关强制性规定的情形。</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3.1.3出现本条3.1.2规定应当停止评标情形的，评标小组成员应当向招标采购单位书面说明情况。除本条规定和评标小组无法依法组建的情形外，评标小组成员不得以任何方式和理由停止评标。</w:t>
      </w:r>
    </w:p>
    <w:p>
      <w:pPr>
        <w:pStyle w:val="44"/>
        <w:spacing w:line="360" w:lineRule="auto"/>
        <w:ind w:firstLine="480" w:firstLineChars="200"/>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3.2初步评审</w:t>
      </w:r>
    </w:p>
    <w:p>
      <w:pPr>
        <w:pStyle w:val="44"/>
        <w:spacing w:line="360" w:lineRule="auto"/>
        <w:ind w:firstLine="480" w:firstLineChars="200"/>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3.2.1资格性审查。</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依据法律法规和本招标文件的规定，评标小组对投标人的资格证明材料进行审查，以确定投标人是否具备投标资格。</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3.2.2符合性审查。</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对通过了资格审查的投标文件，评标小组依据本</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的实质性要求，对其进行审查，以确定其是否满足本</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的实质性要求。本项目符合性审查事项仅限于本</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的明确规定。若投标文件未能满足招标文件的实质性要求，必须严格按照本招标文件的明确规定进行判断，不得随意将其视为无效投标，评标小组也不得擅自推测符合性审查事项。</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 xml:space="preserve">3.2.2.1投标文件有下列情形的，本项目不作为实质性要求进行规定，即不作为符合性审查事项，不得作为无效投标处理： </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（一）除</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明确要求加盖单位（法人）公章的以外，其他地方以相关专用章加盖的；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（二）以骑缝章的形式代替投标文件内容逐页盖章的（但是骑缝章模糊不清，印章名称无法辨认的除外）；</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（三）其他不影响采购项目实质性要求的情形。</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3.2.2.2除采购法律制度规定的情形外，本项目投标人或者其投标文件有下列情形之一的，作为无效投标处理：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（一）投标文件正副本数量不足的；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（二）投标文件组成明显不符合</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的规定要求，影响评标小组评判的；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（三）投标文件的格式、语言、计量单位、报价货币等不符合</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的规定，影响评标小组评判的；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（四）投标报价不符合</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规定的最高限价和其他报价规定的；</w:t>
      </w:r>
    </w:p>
    <w:p>
      <w:pPr>
        <w:pStyle w:val="10"/>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（五）技术应答没有完全响应招标文件实质性要求的；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（六）</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有明确要求，但投标文件未载明或者载明的采购项目履约时间、方式、质量、数量与</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要求不一致的。</w:t>
      </w:r>
    </w:p>
    <w:p>
      <w:pPr>
        <w:pStyle w:val="44"/>
        <w:spacing w:line="360" w:lineRule="auto"/>
        <w:ind w:firstLine="720" w:firstLineChars="300"/>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 xml:space="preserve">3.2.3 </w:t>
      </w:r>
      <w:r>
        <w:rPr>
          <w:rFonts w:hint="eastAsia" w:asciiTheme="majorEastAsia" w:hAnsiTheme="majorEastAsia" w:eastAsiaTheme="majorEastAsia" w:cstheme="majorEastAsia"/>
          <w:b/>
          <w:color w:val="auto"/>
          <w:szCs w:val="24"/>
          <w:highlight w:val="none"/>
        </w:rPr>
        <w:t>若经初步评审，合格投标人数量未达三家，</w:t>
      </w:r>
      <w:bookmarkStart w:id="18" w:name="OLE_LINK12"/>
      <w:r>
        <w:rPr>
          <w:rFonts w:hint="eastAsia" w:asciiTheme="majorEastAsia" w:hAnsiTheme="majorEastAsia" w:eastAsiaTheme="majorEastAsia" w:cstheme="majorEastAsia"/>
          <w:b/>
          <w:color w:val="auto"/>
          <w:szCs w:val="24"/>
          <w:highlight w:val="none"/>
          <w:lang w:val="en-US" w:eastAsia="zh-CN"/>
        </w:rPr>
        <w:t>由招投标领导小组决定是否继续</w:t>
      </w:r>
      <w:bookmarkEnd w:id="18"/>
      <w:r>
        <w:rPr>
          <w:rFonts w:hint="eastAsia" w:asciiTheme="majorEastAsia" w:hAnsiTheme="majorEastAsia" w:eastAsiaTheme="majorEastAsia" w:cstheme="majorEastAsia"/>
          <w:b/>
          <w:color w:val="auto"/>
          <w:szCs w:val="24"/>
          <w:highlight w:val="none"/>
        </w:rPr>
        <w:t>。</w:t>
      </w:r>
    </w:p>
    <w:p>
      <w:pPr>
        <w:pStyle w:val="44"/>
        <w:spacing w:line="360" w:lineRule="auto"/>
        <w:ind w:firstLine="338" w:firstLineChars="141"/>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3.3详细评审</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按</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中规定的评标方法和标准，对合格投标人的投标文件进行商务、技术等方面评估，综合比较后评价。</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3.4复核。评分汇总工作完成后，招标方需进行复核工作，尤其需重点关注拟推荐的中标候选人、报价最低者以及被判定为投标无效的投标人。</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3.5推荐中标候选人。中标候选人为</w:t>
      </w:r>
      <w:r>
        <w:rPr>
          <w:rFonts w:hint="eastAsia" w:asciiTheme="majorEastAsia" w:hAnsiTheme="majorEastAsia" w:eastAsiaTheme="majorEastAsia" w:cstheme="majorEastAsia"/>
          <w:color w:val="auto"/>
          <w:sz w:val="24"/>
          <w:szCs w:val="24"/>
          <w:highlight w:val="none"/>
          <w:u w:val="single"/>
        </w:rPr>
        <w:t>3</w:t>
      </w:r>
      <w:r>
        <w:rPr>
          <w:rFonts w:hint="eastAsia" w:asciiTheme="majorEastAsia" w:hAnsiTheme="majorEastAsia" w:eastAsiaTheme="majorEastAsia" w:cstheme="majorEastAsia"/>
          <w:color w:val="auto"/>
          <w:sz w:val="24"/>
          <w:szCs w:val="24"/>
          <w:highlight w:val="none"/>
        </w:rPr>
        <w:t>人，中标候选人应当排序。评标结果按评审后综合得分由高到低顺序排列；</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得分相同，投标报价低排名在前；</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得分且投标报价相同的，根据招标项目实际情况，明确一个具体量化指标进行排序；</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若评标小组推荐的中标候选人数量未达到招标文件规定，须先获招标人书面同意，方可据实推荐。未获得招标人的书面同意，评标小组不得在招标文件规定之外推荐中标候选人，否则，招标人可以不予认可。</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3.6出具评标报告。评标小组推荐中标候选人后，应当向招标人出具评标报告。评标报告应当包括下列内容：</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（1）招标开标日期和地点；</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（2）获取招标文件的投标人名单和评标小组成员名单；</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（3）评标方法和标准；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（4）开标记录和评标情况及说明，包括无效投标人名单及原因；</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（5）评标结果和中标候选人排序表；</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（6）报价最高的投标人为第一中标候选人的，评标小组应当对其报价的合理性予以特别说明。</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评标小组成员需于评标报告中签字确认，对评标过程或结果有异议者，须在报告中注明异议及理由。未注明异议或理由者，视为无异议。拒不签字又未另行书面说明其不同意见和理由的，视同同意评标结果。</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3.7评标争议处理规则。评标小组在评审过程中，对于符合性审查、对投标文件做无效投标处理及其他需要共同认定的事项存在争议时，应依据《评标小组和评标方法暂行规定》中提到的公平、公正、科学、择优的原则，以少数服从多数的方式作出结论。但此结论必须严格遵守法律法规和招标文件的规定，确保评标过程的合法性和公正性。有不同意见的评标小组成员认为认定过程和结果不符合法律法规或者</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规定的，应当及时向招标采购单位书面反映，并及时处理。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3.8投标人应当书面澄清、说明或者更正。</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3.8.1在评标过程中，在投标文件实质性符合</w:t>
      </w:r>
      <w:r>
        <w:rPr>
          <w:rFonts w:hint="eastAsia" w:asciiTheme="majorEastAsia" w:hAnsiTheme="majorEastAsia" w:eastAsiaTheme="majorEastAsia" w:cstheme="majorEastAsia"/>
          <w:snapToGrid w:val="0"/>
          <w:color w:val="auto"/>
          <w:sz w:val="24"/>
          <w:szCs w:val="24"/>
          <w:highlight w:val="none"/>
        </w:rPr>
        <w:t>招标文件</w:t>
      </w:r>
      <w:r>
        <w:rPr>
          <w:rFonts w:hint="eastAsia" w:asciiTheme="majorEastAsia" w:hAnsiTheme="majorEastAsia" w:eastAsiaTheme="majorEastAsia" w:cstheme="majorEastAsia"/>
          <w:color w:val="auto"/>
          <w:sz w:val="24"/>
          <w:szCs w:val="24"/>
          <w:highlight w:val="none"/>
        </w:rPr>
        <w:t>要求的前提下，评标小组对投标文件中含义不明确、同类问题表述不一致或者有明显文字和计算错误的内容，应当以书面形式（须由评标小组全体成员签字）要求投标人作出必要的书面澄清、说明或者更正，并给予投标人必要的反馈时间。</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3.8.2投标人应当书面澄清、说明或者更正，并加盖单位公章或签字确认（投标人为法人的，应当由其法定代表人或者授权代表签字确认），否则无效。澄清、说明或者更正不影响投标文件的效力，有效地澄清、说明或者更正材料，是投标文件的组成部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3.8.3根据《招标投标法》及相关法规，评标小组在要求投标人澄清、说明或更正投标文件时，必须确保不超出招标文件的范围，不得要求投标人实质改变投标文件的内容，以维护公平竞争的环境。本项目下列内容不得澄清：</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（1）按招标文件规定应当在评标时不予承认的投标文件内容事项；</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（2）投标文件中已经明确的内容事项；</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（3）投标文件未提供的材料。</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3.8.4 本项目采购过程中，投标文件出现下列情况的，不需要投标人澄清、说明或者更正，按照以下原则处理：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（1）投标文件的大写金额和小写金额不一致的，以大写金额为准，但大写金额出现文字错误，导致金额无法判断的除外；</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（2）总价金额与按单价汇总金额不一致的，以单价汇总金额计算结果为准，但是单价金额出现计算错误、明显人为工作失误的除外；</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（3）单价金额小数点有明显错位的，应以总价为准，并修改单价；</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（4）开标一览表中报价与投标文件中其他报价不一致时，以开标一览表中的报价为准；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（5）对不同语言文本投标文件的解释发生异议的，以中文文本为准。</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出现本条第（2）项规定情形，单价汇总金额比总价金额高，且超过本项目最高限价的，投标文件应作为无效投标处理；单价汇总金额比总价金额高，但未超过采购项目最高限价的，应以单价汇总金额作为价格评分依据。</w:t>
      </w:r>
    </w:p>
    <w:p>
      <w:pPr>
        <w:ind w:right="105" w:firstLine="482"/>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注：评标小组应当积极履行澄清、说明或者更正的职责，不得滥用权力。投标人的投标文件可以要求澄清、说明或者更正的，不得未经澄清、说明或者更正而直接作无效投标处理。</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3.9 低于成本价投标处理。在评标过程中，评标小组认为供应商的报价明显低于其他通过符合性审查的投标人的报价，有可能影响服务质量或者不能诚信履约的，应当要求其在评标现场合理的时间内提供书面说明，必要时提交相关证明材料；投标人不能证明其报价合理性的，评标小组应当将其作为无效投标处理。投标人需依据国家财务会计制度，详细阐述其服务成本构成，包括主营业务成本（区分供应商企业类型）、税金及附加、销售费用、管理费用、财务费用等，每一项均需详细说明。</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投标人书面说明应当签字确认或者加盖公章，否则无效。书面说明的签字确认，投标人为法人的，由其法定代表人或者授权代表签字确认。</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投标人提供书面说明后，评标小组在审查评价时，应依据采购项目需求、专业实际情况、投标人财务状况报告、业绩和信誉要求等，结合评标办法中规定的评审标准和权重，对投标文件进行综合评估，确保评标过程的公正性。投标人拒绝或者变相拒绝提供有效书面说明或者书面说明不能证明其报价合理性的，评标小组应当将其投标文件作为无效处理。</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3.10招标采购单位现场复核评标结果。</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3.10.1评标结果汇总完成后，评标小组在出具评标报告前，招标采购单位应组织2名以上工作人员，在采购现场监督人员的监督下，依据《中华人民共和国招标投标法》、《中华人民共和国招标投标法实施条例》等法律法规，以及招标文件对评标结果进行复核。存在下列情形之一的，招标采购单位应当根据情况书面建议评标小组现场修改评标结果或者重新评标：</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（1）资格性审查认定错误的；</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（2）分值汇总计算错误的；</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（3）分项评分超出评分标准范围的；</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（4）客观评分不一致的。</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存在本条上述规定情形的，评标小组应当采纳招标采购单位的书面建议，按照规定修改评标结果或重新评标，并承担独立评审责任。</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 xml:space="preserve"> 3.10.2有下列情形之一的，不得修改评标结果或者重新评标：</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（1）评标小组已经出具评标报告并且离开评标现场的；</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（2）招标采购单位现场复核时，没有采购监督人员现场监督的；</w:t>
      </w:r>
    </w:p>
    <w:p>
      <w:pPr>
        <w:pStyle w:val="94"/>
        <w:ind w:firstLine="480"/>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color w:val="auto"/>
          <w:szCs w:val="24"/>
          <w:highlight w:val="none"/>
        </w:rPr>
        <w:t>（3）招标采购单位现场复核内容超出规定范围的。</w:t>
      </w:r>
    </w:p>
    <w:p>
      <w:pPr>
        <w:pStyle w:val="94"/>
        <w:ind w:firstLine="482"/>
        <w:jc w:val="both"/>
        <w:rPr>
          <w:rFonts w:asciiTheme="majorEastAsia" w:hAnsiTheme="majorEastAsia" w:eastAsiaTheme="majorEastAsia" w:cstheme="majorEastAsia"/>
          <w:color w:val="auto"/>
          <w:szCs w:val="24"/>
          <w:highlight w:val="none"/>
        </w:rPr>
      </w:pPr>
      <w:r>
        <w:rPr>
          <w:rFonts w:hint="eastAsia" w:asciiTheme="majorEastAsia" w:hAnsiTheme="majorEastAsia" w:eastAsiaTheme="majorEastAsia" w:cstheme="majorEastAsia"/>
          <w:b/>
          <w:bCs/>
          <w:color w:val="auto"/>
          <w:szCs w:val="24"/>
          <w:highlight w:val="none"/>
        </w:rPr>
        <w:t>4．评标细则及标准</w:t>
      </w:r>
      <w:bookmarkStart w:id="19" w:name="OLE_LINK26"/>
    </w:p>
    <w:p>
      <w:pPr>
        <w:pStyle w:val="11"/>
        <w:tabs>
          <w:tab w:val="left" w:pos="600"/>
        </w:tabs>
        <w:adjustRightInd w:val="0"/>
        <w:snapToGrid w:val="0"/>
        <w:ind w:right="105" w:firstLine="480"/>
        <w:rPr>
          <w:rFonts w:asciiTheme="majorEastAsia" w:hAnsiTheme="majorEastAsia" w:eastAsiaTheme="majorEastAsia" w:cstheme="majorEastAsia"/>
          <w:bCs/>
          <w:color w:val="auto"/>
          <w:sz w:val="24"/>
          <w:szCs w:val="24"/>
          <w:highlight w:val="none"/>
        </w:rPr>
      </w:pPr>
      <w:r>
        <w:rPr>
          <w:rFonts w:hint="eastAsia" w:asciiTheme="majorEastAsia" w:hAnsiTheme="majorEastAsia" w:eastAsiaTheme="majorEastAsia" w:cstheme="majorEastAsia"/>
          <w:bCs/>
          <w:color w:val="auto"/>
          <w:sz w:val="24"/>
          <w:szCs w:val="24"/>
          <w:highlight w:val="none"/>
        </w:rPr>
        <w:t>4.1初步评审的评审细则</w:t>
      </w:r>
    </w:p>
    <w:tbl>
      <w:tblPr>
        <w:tblStyle w:val="31"/>
        <w:tblW w:w="973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2"/>
        <w:gridCol w:w="7"/>
        <w:gridCol w:w="523"/>
        <w:gridCol w:w="9"/>
        <w:gridCol w:w="2589"/>
        <w:gridCol w:w="5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1361" w:type="dxa"/>
            <w:gridSpan w:val="4"/>
            <w:vAlign w:val="center"/>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lang w:eastAsia="en-US"/>
              </w:rPr>
            </w:pPr>
            <w:r>
              <w:rPr>
                <w:rFonts w:hint="eastAsia" w:asciiTheme="majorEastAsia" w:hAnsiTheme="majorEastAsia" w:eastAsiaTheme="majorEastAsia" w:cstheme="majorEastAsia"/>
                <w:color w:val="auto"/>
                <w:sz w:val="21"/>
                <w:szCs w:val="21"/>
                <w:highlight w:val="none"/>
                <w:lang w:eastAsia="en-US"/>
              </w:rPr>
              <w:t>条款号</w:t>
            </w:r>
          </w:p>
        </w:tc>
        <w:tc>
          <w:tcPr>
            <w:tcW w:w="2589" w:type="dxa"/>
            <w:vAlign w:val="center"/>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lang w:eastAsia="en-US"/>
              </w:rPr>
            </w:pPr>
            <w:r>
              <w:rPr>
                <w:rFonts w:hint="eastAsia" w:asciiTheme="majorEastAsia" w:hAnsiTheme="majorEastAsia" w:eastAsiaTheme="majorEastAsia" w:cstheme="majorEastAsia"/>
                <w:color w:val="auto"/>
                <w:sz w:val="21"/>
                <w:szCs w:val="21"/>
                <w:highlight w:val="none"/>
                <w:lang w:eastAsia="en-US"/>
              </w:rPr>
              <w:t>评审因素</w:t>
            </w:r>
          </w:p>
        </w:tc>
        <w:tc>
          <w:tcPr>
            <w:tcW w:w="5789" w:type="dxa"/>
            <w:vAlign w:val="center"/>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lang w:eastAsia="en-US"/>
              </w:rPr>
            </w:pPr>
            <w:r>
              <w:rPr>
                <w:rFonts w:hint="eastAsia" w:asciiTheme="majorEastAsia" w:hAnsiTheme="majorEastAsia" w:eastAsiaTheme="majorEastAsia" w:cstheme="majorEastAsia"/>
                <w:color w:val="auto"/>
                <w:sz w:val="21"/>
                <w:szCs w:val="21"/>
                <w:highlight w:val="none"/>
                <w:lang w:eastAsia="en-US"/>
              </w:rPr>
              <w:t>评审标准</w:t>
            </w:r>
            <w:r>
              <w:rPr>
                <w:rFonts w:hint="eastAsia" w:asciiTheme="majorEastAsia" w:hAnsiTheme="majorEastAsia" w:eastAsiaTheme="majorEastAsia" w:cstheme="majorEastAsia"/>
                <w:color w:val="auto"/>
                <w:sz w:val="21"/>
                <w:szCs w:val="21"/>
                <w:highlight w:val="none"/>
              </w:rPr>
              <w:t>和资料要求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0" w:hRule="atLeast"/>
          <w:jc w:val="center"/>
        </w:trPr>
        <w:tc>
          <w:tcPr>
            <w:tcW w:w="822" w:type="dxa"/>
            <w:vMerge w:val="restart"/>
            <w:tcBorders>
              <w:left w:val="single" w:color="auto" w:sz="4" w:space="0"/>
              <w:bottom w:val="single" w:color="auto" w:sz="4" w:space="0"/>
              <w:right w:val="single" w:color="auto" w:sz="4" w:space="0"/>
            </w:tcBorders>
            <w:vAlign w:val="center"/>
          </w:tcPr>
          <w:p>
            <w:pPr>
              <w:autoSpaceDE w:val="0"/>
              <w:autoSpaceDN w:val="0"/>
              <w:adjustRightIn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初</w:t>
            </w:r>
          </w:p>
          <w:p>
            <w:pPr>
              <w:autoSpaceDE w:val="0"/>
              <w:autoSpaceDN w:val="0"/>
              <w:adjustRightIn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步</w:t>
            </w:r>
          </w:p>
          <w:p>
            <w:pPr>
              <w:autoSpaceDE w:val="0"/>
              <w:autoSpaceDN w:val="0"/>
              <w:adjustRightIn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w:t>
            </w:r>
          </w:p>
          <w:p>
            <w:pPr>
              <w:autoSpaceDE w:val="0"/>
              <w:autoSpaceDN w:val="0"/>
              <w:adjustRightIn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审</w:t>
            </w:r>
          </w:p>
        </w:tc>
        <w:tc>
          <w:tcPr>
            <w:tcW w:w="539" w:type="dxa"/>
            <w:gridSpan w:val="3"/>
            <w:vMerge w:val="restart"/>
            <w:tcBorders>
              <w:left w:val="single" w:color="auto" w:sz="4" w:space="0"/>
            </w:tcBorders>
            <w:vAlign w:val="center"/>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eastAsia="en-US"/>
              </w:rPr>
              <w:t>资</w:t>
            </w:r>
          </w:p>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eastAsia="en-US"/>
              </w:rPr>
              <w:t>格</w:t>
            </w:r>
          </w:p>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lang w:eastAsia="en-US"/>
              </w:rPr>
              <w:t>评</w:t>
            </w:r>
          </w:p>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lang w:eastAsia="en-US"/>
              </w:rPr>
            </w:pPr>
            <w:r>
              <w:rPr>
                <w:rFonts w:hint="eastAsia" w:asciiTheme="majorEastAsia" w:hAnsiTheme="majorEastAsia" w:eastAsiaTheme="majorEastAsia" w:cstheme="majorEastAsia"/>
                <w:color w:val="auto"/>
                <w:sz w:val="21"/>
                <w:szCs w:val="21"/>
                <w:highlight w:val="none"/>
                <w:lang w:eastAsia="en-US"/>
              </w:rPr>
              <w:t>审</w:t>
            </w:r>
          </w:p>
        </w:tc>
        <w:tc>
          <w:tcPr>
            <w:tcW w:w="2589" w:type="dxa"/>
            <w:vAlign w:val="center"/>
          </w:tcPr>
          <w:p>
            <w:pPr>
              <w:widowControl/>
              <w:ind w:right="105" w:firstLine="0" w:firstLineChars="0"/>
              <w:jc w:val="left"/>
              <w:rPr>
                <w:rFonts w:hint="eastAsia" w:asciiTheme="majorEastAsia" w:hAnsiTheme="majorEastAsia" w:eastAsiaTheme="majorEastAsia" w:cstheme="majorEastAsia"/>
                <w:color w:val="auto"/>
                <w:sz w:val="21"/>
                <w:szCs w:val="21"/>
                <w:highlight w:val="none"/>
                <w:lang w:eastAsia="zh-CN"/>
              </w:rPr>
            </w:pPr>
            <w:r>
              <w:rPr>
                <w:rFonts w:hint="eastAsia" w:asciiTheme="majorEastAsia" w:hAnsiTheme="majorEastAsia" w:eastAsiaTheme="majorEastAsia" w:cstheme="majorEastAsia"/>
                <w:color w:val="auto"/>
                <w:sz w:val="21"/>
                <w:szCs w:val="21"/>
                <w:highlight w:val="none"/>
                <w:lang w:val="en-US" w:eastAsia="zh-CN"/>
              </w:rPr>
              <w:t>四川省绵阳市</w:t>
            </w:r>
            <w:r>
              <w:rPr>
                <w:rFonts w:hint="eastAsia" w:asciiTheme="majorEastAsia" w:hAnsiTheme="majorEastAsia" w:eastAsiaTheme="majorEastAsia" w:cstheme="majorEastAsia"/>
                <w:color w:val="auto"/>
                <w:sz w:val="21"/>
                <w:szCs w:val="21"/>
                <w:highlight w:val="none"/>
              </w:rPr>
              <w:t>境内注册，具有独立法人资格的企业</w:t>
            </w:r>
            <w:r>
              <w:rPr>
                <w:rFonts w:hint="eastAsia" w:asciiTheme="majorEastAsia" w:hAnsiTheme="majorEastAsia" w:eastAsiaTheme="majorEastAsia" w:cstheme="majorEastAsia"/>
                <w:color w:val="auto"/>
                <w:sz w:val="21"/>
                <w:szCs w:val="21"/>
                <w:highlight w:val="none"/>
                <w:lang w:eastAsia="zh-CN"/>
              </w:rPr>
              <w:t>，</w:t>
            </w:r>
            <w:r>
              <w:rPr>
                <w:rFonts w:hint="eastAsia"/>
                <w:color w:val="auto"/>
                <w:sz w:val="21"/>
                <w:szCs w:val="21"/>
                <w:highlight w:val="none"/>
              </w:rPr>
              <w:t>必须有</w:t>
            </w:r>
            <w:r>
              <w:rPr>
                <w:color w:val="auto"/>
                <w:sz w:val="21"/>
                <w:szCs w:val="21"/>
                <w:highlight w:val="none"/>
              </w:rPr>
              <w:t>“本地办公地址”</w:t>
            </w:r>
            <w:r>
              <w:rPr>
                <w:rFonts w:hint="eastAsia" w:asciiTheme="majorEastAsia" w:hAnsiTheme="majorEastAsia" w:eastAsiaTheme="majorEastAsia" w:cstheme="majorEastAsia"/>
                <w:color w:val="auto"/>
                <w:sz w:val="21"/>
                <w:szCs w:val="21"/>
                <w:highlight w:val="none"/>
                <w:lang w:eastAsia="zh-CN"/>
              </w:rPr>
              <w:t>。</w:t>
            </w:r>
          </w:p>
        </w:tc>
        <w:tc>
          <w:tcPr>
            <w:tcW w:w="5789" w:type="dxa"/>
          </w:tcPr>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评审标准：有统一社会信用代码的营业执照副本。</w:t>
            </w:r>
          </w:p>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提供资料：营业执照复印件，加盖单位公章。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822"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39"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589" w:type="dxa"/>
          </w:tcPr>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商业信誉和财务会计制度；</w:t>
            </w:r>
          </w:p>
        </w:tc>
        <w:tc>
          <w:tcPr>
            <w:tcW w:w="5789" w:type="dxa"/>
          </w:tcPr>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（1）商业信誉：</w:t>
            </w: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评审标准：具有良好的商业信誉。</w:t>
            </w: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提供资料：在承诺函中作出承诺。</w:t>
            </w: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（2）财务会计制度：</w:t>
            </w: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评审标准：具有健全的财务会计制度。</w:t>
            </w: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提供资料：在承诺函中作出承诺。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9" w:hRule="atLeast"/>
          <w:jc w:val="center"/>
        </w:trPr>
        <w:tc>
          <w:tcPr>
            <w:tcW w:w="822"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39"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589" w:type="dxa"/>
          </w:tcPr>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履行合同所必需的设备和专业技术能力；</w:t>
            </w:r>
          </w:p>
        </w:tc>
        <w:tc>
          <w:tcPr>
            <w:tcW w:w="5789" w:type="dxa"/>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评审标准：具有履行合同所必需的设备和专业技术能力。</w:t>
            </w:r>
          </w:p>
          <w:p>
            <w:pPr>
              <w:widowControl/>
              <w:spacing w:line="240" w:lineRule="auto"/>
              <w:ind w:right="105" w:firstLine="0" w:firstLineChars="0"/>
              <w:jc w:val="left"/>
              <w:rPr>
                <w:rFonts w:asciiTheme="majorEastAsia" w:hAnsiTheme="majorEastAsia" w:eastAsiaTheme="majorEastAsia" w:cstheme="majorEastAsia"/>
                <w:snapToGrid w:val="0"/>
                <w:color w:val="auto"/>
                <w:sz w:val="21"/>
                <w:szCs w:val="21"/>
                <w:highlight w:val="none"/>
              </w:rPr>
            </w:pPr>
            <w:r>
              <w:rPr>
                <w:rFonts w:hint="eastAsia" w:asciiTheme="majorEastAsia" w:hAnsiTheme="majorEastAsia" w:eastAsiaTheme="majorEastAsia" w:cstheme="majorEastAsia"/>
                <w:color w:val="auto"/>
                <w:sz w:val="21"/>
                <w:szCs w:val="21"/>
                <w:highlight w:val="none"/>
              </w:rPr>
              <w:t xml:space="preserve">提供资料：在承诺函中作出承诺。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6" w:hRule="atLeast"/>
          <w:jc w:val="center"/>
        </w:trPr>
        <w:tc>
          <w:tcPr>
            <w:tcW w:w="822"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39"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589" w:type="dxa"/>
          </w:tcPr>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依法缴纳税收和社会保障资金的记录</w:t>
            </w:r>
          </w:p>
        </w:tc>
        <w:tc>
          <w:tcPr>
            <w:tcW w:w="5789" w:type="dxa"/>
          </w:tcPr>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评审标准：具有依法缴纳税收和社会保障资金的良好记录。</w:t>
            </w: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提供资料：在承诺函中作出承诺。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0" w:hRule="atLeast"/>
          <w:jc w:val="center"/>
        </w:trPr>
        <w:tc>
          <w:tcPr>
            <w:tcW w:w="822"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39"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589" w:type="dxa"/>
          </w:tcPr>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采购活动前三年内，在经营活动中的重大违法记录；</w:t>
            </w:r>
          </w:p>
        </w:tc>
        <w:tc>
          <w:tcPr>
            <w:tcW w:w="5789" w:type="dxa"/>
          </w:tcPr>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评审标准：无相关重大违法记录。</w:t>
            </w:r>
          </w:p>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提供资料：在承诺函中作出承诺。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3" w:hRule="atLeast"/>
          <w:jc w:val="center"/>
        </w:trPr>
        <w:tc>
          <w:tcPr>
            <w:tcW w:w="822"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39"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589" w:type="dxa"/>
            <w:tcBorders>
              <w:bottom w:val="single" w:color="auto" w:sz="4" w:space="0"/>
            </w:tcBorders>
          </w:tcPr>
          <w:p>
            <w:pPr>
              <w:widowControl/>
              <w:ind w:right="105"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根据采购项目的特殊要求规定的投标人特定条件</w:t>
            </w:r>
          </w:p>
        </w:tc>
        <w:tc>
          <w:tcPr>
            <w:tcW w:w="5789" w:type="dxa"/>
            <w:vAlign w:val="center"/>
          </w:tcPr>
          <w:p>
            <w:pPr>
              <w:widowControl/>
              <w:spacing w:line="440" w:lineRule="exact"/>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评审标准：投标人特定条件。</w:t>
            </w:r>
          </w:p>
          <w:p>
            <w:pPr>
              <w:widowControl/>
              <w:spacing w:line="240" w:lineRule="auto"/>
              <w:ind w:right="105" w:firstLine="0" w:firstLineChars="0"/>
              <w:rPr>
                <w:rFonts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5" w:hRule="atLeast"/>
          <w:jc w:val="center"/>
        </w:trPr>
        <w:tc>
          <w:tcPr>
            <w:tcW w:w="822"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39"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589" w:type="dxa"/>
            <w:tcBorders>
              <w:bottom w:val="single" w:color="auto" w:sz="4" w:space="0"/>
            </w:tcBorders>
          </w:tcPr>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截止投标截止日，是否处于行业单位投标限制期内</w:t>
            </w:r>
          </w:p>
        </w:tc>
        <w:tc>
          <w:tcPr>
            <w:tcW w:w="5789" w:type="dxa"/>
          </w:tcPr>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评审标准：未处于相应投标限制期内。</w:t>
            </w:r>
          </w:p>
          <w:p>
            <w:pPr>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提供资料：在承诺函中作出承诺。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8" w:hRule="atLeast"/>
          <w:jc w:val="center"/>
        </w:trPr>
        <w:tc>
          <w:tcPr>
            <w:tcW w:w="822"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39"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589" w:type="dxa"/>
          </w:tcPr>
          <w:p>
            <w:pPr>
              <w:pStyle w:val="102"/>
              <w:widowControl/>
              <w:jc w:val="left"/>
              <w:rPr>
                <w:rFonts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rPr>
              <w:t>截止到本项目投标截止时间，投标人被列入“国家企业信用信息公示系统”网站中严重违法失信企业名单（黑名单）信息的；2022年1月1日以来，在“中国裁判文书网”网站显示有行贿行为记录的投标人或党政纪处分决定书认定的涉及行贿行为的投标人。</w:t>
            </w:r>
          </w:p>
        </w:tc>
        <w:tc>
          <w:tcPr>
            <w:tcW w:w="5789" w:type="dxa"/>
          </w:tcPr>
          <w:p>
            <w:pPr>
              <w:pStyle w:val="102"/>
              <w:spacing w:line="276" w:lineRule="auto"/>
              <w:jc w:val="left"/>
              <w:rPr>
                <w:rFonts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rPr>
              <w:t>评审标准：无相应不良记录。</w:t>
            </w:r>
          </w:p>
          <w:p>
            <w:pPr>
              <w:pStyle w:val="102"/>
              <w:spacing w:line="276" w:lineRule="auto"/>
              <w:jc w:val="left"/>
              <w:rPr>
                <w:rFonts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rPr>
              <w:t>提供资料：招标人在投标人递交报名资料时，将通过存在行贿行为供应商名单、“中国裁判文书网”、 “国家企业信用信息公示系统”的相应不良记录进行查询，并将查询结果在评标时提交评标小组。如存在上述行贿信息，招标人将不接受其投标报名，并填写《供应商筛查表》留档备查。</w:t>
            </w:r>
          </w:p>
          <w:p>
            <w:pPr>
              <w:pStyle w:val="102"/>
              <w:spacing w:line="276" w:lineRule="auto"/>
              <w:jc w:val="left"/>
              <w:rPr>
                <w:rFonts w:asciiTheme="majorEastAsia" w:hAnsiTheme="majorEastAsia" w:eastAsiaTheme="majorEastAsia" w:cstheme="majorEastAsia"/>
                <w:color w:val="auto"/>
                <w:kern w:val="0"/>
                <w:sz w:val="21"/>
                <w:szCs w:val="21"/>
                <w:highlight w:val="none"/>
              </w:rPr>
            </w:pPr>
            <w:r>
              <w:rPr>
                <w:rFonts w:hint="eastAsia" w:asciiTheme="majorEastAsia" w:hAnsiTheme="majorEastAsia" w:eastAsiaTheme="majorEastAsia" w:cstheme="majorEastAsia"/>
                <w:color w:val="auto"/>
                <w:kern w:val="0"/>
                <w:sz w:val="21"/>
                <w:szCs w:val="21"/>
                <w:highlight w:val="none"/>
              </w:rPr>
              <w:t>投标人无需提供该资料。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822"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tc>
        <w:tc>
          <w:tcPr>
            <w:tcW w:w="539"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auto"/>
                <w:sz w:val="21"/>
                <w:szCs w:val="21"/>
                <w:highlight w:val="none"/>
              </w:rPr>
            </w:pPr>
          </w:p>
        </w:tc>
        <w:tc>
          <w:tcPr>
            <w:tcW w:w="2589" w:type="dxa"/>
          </w:tcPr>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是否存在招标文件规定的其他禁止投标情形</w:t>
            </w:r>
          </w:p>
        </w:tc>
        <w:tc>
          <w:tcPr>
            <w:tcW w:w="5789" w:type="dxa"/>
          </w:tcPr>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评审标准：不存在招标文件规定的其他禁止投标情形。</w:t>
            </w:r>
          </w:p>
          <w:p>
            <w:pPr>
              <w:widowControl/>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提供资料：在承诺函中作出承诺。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7" w:hRule="atLeast"/>
          <w:jc w:val="center"/>
        </w:trPr>
        <w:tc>
          <w:tcPr>
            <w:tcW w:w="829" w:type="dxa"/>
            <w:gridSpan w:val="2"/>
            <w:vMerge w:val="restart"/>
            <w:tcBorders>
              <w:top w:val="nil"/>
            </w:tcBorders>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23" w:type="dxa"/>
            <w:vMerge w:val="restart"/>
            <w:vAlign w:val="center"/>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符合性评审</w:t>
            </w:r>
          </w:p>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auto"/>
                <w:sz w:val="21"/>
                <w:szCs w:val="21"/>
                <w:highlight w:val="none"/>
              </w:rPr>
            </w:pPr>
          </w:p>
        </w:tc>
        <w:tc>
          <w:tcPr>
            <w:tcW w:w="2598" w:type="dxa"/>
            <w:gridSpan w:val="2"/>
          </w:tcPr>
          <w:p>
            <w:pPr>
              <w:pStyle w:val="11"/>
              <w:tabs>
                <w:tab w:val="left" w:pos="600"/>
              </w:tabs>
              <w:adjustRightInd w:val="0"/>
              <w:snapToGrid w:val="0"/>
              <w:ind w:right="105" w:firstLine="0" w:firstLineChars="0"/>
              <w:jc w:val="center"/>
              <w:rPr>
                <w:rFonts w:hint="eastAsia"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投标人名称</w:t>
            </w:r>
          </w:p>
        </w:tc>
        <w:tc>
          <w:tcPr>
            <w:tcW w:w="5789" w:type="dxa"/>
          </w:tcPr>
          <w:p>
            <w:pPr>
              <w:pStyle w:val="11"/>
              <w:adjustRightInd w:val="0"/>
              <w:snapToGrid w:val="0"/>
              <w:ind w:right="105" w:firstLine="0" w:firstLineChars="0"/>
              <w:jc w:val="center"/>
              <w:rPr>
                <w:rFonts w:hint="eastAsia" w:asciiTheme="majorEastAsia" w:hAnsiTheme="majorEastAsia" w:eastAsiaTheme="majorEastAsia" w:cstheme="majorEastAsia"/>
                <w:color w:val="auto"/>
                <w:sz w:val="21"/>
                <w:szCs w:val="21"/>
                <w:highlight w:val="none"/>
              </w:rPr>
            </w:pPr>
          </w:p>
          <w:p>
            <w:pPr>
              <w:pStyle w:val="11"/>
              <w:adjustRightInd w:val="0"/>
              <w:snapToGrid w:val="0"/>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评审标准：与营业执照一致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3" w:hRule="atLeast"/>
          <w:jc w:val="center"/>
        </w:trPr>
        <w:tc>
          <w:tcPr>
            <w:tcW w:w="829"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23"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598" w:type="dxa"/>
            <w:gridSpan w:val="2"/>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投标文件装订</w:t>
            </w:r>
          </w:p>
        </w:tc>
        <w:tc>
          <w:tcPr>
            <w:tcW w:w="5789" w:type="dxa"/>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评审标准：符合第二章第20条要求。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jc w:val="center"/>
        </w:trPr>
        <w:tc>
          <w:tcPr>
            <w:tcW w:w="829"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23"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598" w:type="dxa"/>
            <w:gridSpan w:val="2"/>
          </w:tcPr>
          <w:p>
            <w:pPr>
              <w:pStyle w:val="11"/>
              <w:tabs>
                <w:tab w:val="left" w:pos="600"/>
              </w:tabs>
              <w:adjustRightInd w:val="0"/>
              <w:snapToGrid w:val="0"/>
              <w:spacing w:line="240" w:lineRule="auto"/>
              <w:ind w:right="105" w:firstLine="0" w:firstLineChars="0"/>
              <w:jc w:val="center"/>
              <w:rPr>
                <w:rFonts w:hint="eastAsia" w:asciiTheme="majorEastAsia" w:hAnsiTheme="majorEastAsia" w:eastAsiaTheme="majorEastAsia" w:cstheme="majorEastAsia"/>
                <w:color w:val="auto"/>
                <w:sz w:val="21"/>
                <w:szCs w:val="21"/>
                <w:highlight w:val="none"/>
              </w:rPr>
            </w:pPr>
          </w:p>
          <w:p>
            <w:pPr>
              <w:pStyle w:val="11"/>
              <w:tabs>
                <w:tab w:val="left" w:pos="600"/>
              </w:tabs>
              <w:adjustRightInd w:val="0"/>
              <w:snapToGri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签字和盖章</w:t>
            </w:r>
          </w:p>
        </w:tc>
        <w:tc>
          <w:tcPr>
            <w:tcW w:w="5789" w:type="dxa"/>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评审标准：符合第二章第20条要求。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jc w:val="center"/>
        </w:trPr>
        <w:tc>
          <w:tcPr>
            <w:tcW w:w="829"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23"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598" w:type="dxa"/>
            <w:gridSpan w:val="2"/>
            <w:vAlign w:val="center"/>
          </w:tcPr>
          <w:p>
            <w:pPr>
              <w:pStyle w:val="11"/>
              <w:tabs>
                <w:tab w:val="left" w:pos="600"/>
              </w:tabs>
              <w:adjustRightInd w:val="0"/>
              <w:snapToGrid w:val="0"/>
              <w:spacing w:line="240" w:lineRule="auto"/>
              <w:ind w:right="105" w:firstLine="210" w:firstLineChars="10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投标保证金</w:t>
            </w:r>
          </w:p>
        </w:tc>
        <w:tc>
          <w:tcPr>
            <w:tcW w:w="5789" w:type="dxa"/>
            <w:vAlign w:val="center"/>
          </w:tcPr>
          <w:p>
            <w:pPr>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本项目收取投标保证金</w:t>
            </w:r>
            <w:r>
              <w:rPr>
                <w:rFonts w:hint="eastAsia" w:asciiTheme="majorEastAsia" w:hAnsiTheme="majorEastAsia" w:eastAsiaTheme="majorEastAsia" w:cstheme="majorEastAsia"/>
                <w:color w:val="auto"/>
                <w:sz w:val="21"/>
                <w:szCs w:val="21"/>
                <w:highlight w:val="none"/>
                <w:lang w:val="en-US" w:eastAsia="zh-CN"/>
              </w:rPr>
              <w:t>10</w:t>
            </w:r>
            <w:r>
              <w:rPr>
                <w:rFonts w:hint="eastAsia" w:asciiTheme="majorEastAsia" w:hAnsiTheme="majorEastAsia" w:eastAsiaTheme="majorEastAsia" w:cstheme="majorEastAsia"/>
                <w:color w:val="auto"/>
                <w:sz w:val="21"/>
                <w:szCs w:val="21"/>
                <w:highlight w:val="none"/>
              </w:rPr>
              <w:t>0000.00元（大写：</w:t>
            </w:r>
            <w:r>
              <w:rPr>
                <w:rFonts w:hint="eastAsia" w:asciiTheme="majorEastAsia" w:hAnsiTheme="majorEastAsia" w:eastAsiaTheme="majorEastAsia" w:cstheme="majorEastAsia"/>
                <w:color w:val="auto"/>
                <w:sz w:val="21"/>
                <w:szCs w:val="21"/>
                <w:highlight w:val="none"/>
                <w:lang w:eastAsia="zh-CN"/>
              </w:rPr>
              <w:t>壹拾</w:t>
            </w:r>
            <w:r>
              <w:rPr>
                <w:rFonts w:hint="eastAsia" w:asciiTheme="majorEastAsia" w:hAnsiTheme="majorEastAsia" w:eastAsiaTheme="majorEastAsia" w:cstheme="majorEastAsia"/>
                <w:color w:val="auto"/>
                <w:sz w:val="21"/>
                <w:szCs w:val="21"/>
                <w:highlight w:val="none"/>
              </w:rPr>
              <w:t>万元整）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1" w:hRule="atLeast"/>
          <w:jc w:val="center"/>
        </w:trPr>
        <w:tc>
          <w:tcPr>
            <w:tcW w:w="829"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23"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598" w:type="dxa"/>
            <w:gridSpan w:val="2"/>
          </w:tcPr>
          <w:p>
            <w:pPr>
              <w:pStyle w:val="11"/>
              <w:tabs>
                <w:tab w:val="left" w:pos="600"/>
              </w:tabs>
              <w:adjustRightInd w:val="0"/>
              <w:snapToGri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投标文件份数</w:t>
            </w:r>
          </w:p>
        </w:tc>
        <w:tc>
          <w:tcPr>
            <w:tcW w:w="5789" w:type="dxa"/>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评审标准：符合第二章“投标人须知前附表”要求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8" w:hRule="atLeast"/>
          <w:jc w:val="center"/>
        </w:trPr>
        <w:tc>
          <w:tcPr>
            <w:tcW w:w="829"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23"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598" w:type="dxa"/>
            <w:gridSpan w:val="2"/>
          </w:tcPr>
          <w:p>
            <w:pPr>
              <w:pStyle w:val="11"/>
              <w:tabs>
                <w:tab w:val="left" w:pos="600"/>
              </w:tabs>
              <w:adjustRightInd w:val="0"/>
              <w:snapToGri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报价</w:t>
            </w:r>
          </w:p>
        </w:tc>
        <w:tc>
          <w:tcPr>
            <w:tcW w:w="5789" w:type="dxa"/>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w:t>
            </w:r>
          </w:p>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1、报价唯一；</w:t>
            </w:r>
          </w:p>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2、报价不超过最高限价；</w:t>
            </w:r>
          </w:p>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3、报价所包含的内容符合招标文件要求；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jc w:val="center"/>
        </w:trPr>
        <w:tc>
          <w:tcPr>
            <w:tcW w:w="829"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23"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598" w:type="dxa"/>
            <w:gridSpan w:val="2"/>
            <w:vAlign w:val="center"/>
          </w:tcPr>
          <w:p>
            <w:pPr>
              <w:pStyle w:val="11"/>
              <w:tabs>
                <w:tab w:val="left" w:pos="600"/>
              </w:tabs>
              <w:adjustRightInd w:val="0"/>
              <w:snapToGri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投标有效期</w:t>
            </w:r>
          </w:p>
        </w:tc>
        <w:tc>
          <w:tcPr>
            <w:tcW w:w="5789" w:type="dxa"/>
            <w:vAlign w:val="center"/>
          </w:tcPr>
          <w:p>
            <w:pPr>
              <w:pStyle w:val="11"/>
              <w:tabs>
                <w:tab w:val="left" w:pos="600"/>
              </w:tabs>
              <w:adjustRightInd w:val="0"/>
              <w:snapToGrid w:val="0"/>
              <w:spacing w:line="240" w:lineRule="auto"/>
              <w:ind w:right="105"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评审标准：不少于招标文件要求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5" w:hRule="atLeast"/>
          <w:jc w:val="center"/>
        </w:trPr>
        <w:tc>
          <w:tcPr>
            <w:tcW w:w="829"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23"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598" w:type="dxa"/>
            <w:gridSpan w:val="2"/>
          </w:tcPr>
          <w:p>
            <w:pPr>
              <w:pStyle w:val="11"/>
              <w:tabs>
                <w:tab w:val="left" w:pos="600"/>
              </w:tabs>
              <w:adjustRightInd w:val="0"/>
              <w:snapToGrid w:val="0"/>
              <w:spacing w:line="240" w:lineRule="auto"/>
              <w:ind w:right="105" w:firstLine="420"/>
              <w:jc w:val="center"/>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spacing w:line="240" w:lineRule="auto"/>
              <w:ind w:leftChars="-37" w:right="105" w:hanging="126" w:hangingChars="6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授权代表</w:t>
            </w:r>
          </w:p>
        </w:tc>
        <w:tc>
          <w:tcPr>
            <w:tcW w:w="5789" w:type="dxa"/>
          </w:tcPr>
          <w:p>
            <w:pPr>
              <w:pStyle w:val="11"/>
              <w:tabs>
                <w:tab w:val="left" w:pos="600"/>
              </w:tabs>
              <w:adjustRightInd w:val="0"/>
              <w:snapToGrid w:val="0"/>
              <w:spacing w:line="240" w:lineRule="auto"/>
              <w:ind w:right="105"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评审标准：具有招标文件要求的社保证明材料。</w:t>
            </w:r>
          </w:p>
          <w:p>
            <w:pPr>
              <w:pStyle w:val="11"/>
              <w:tabs>
                <w:tab w:val="left" w:pos="600"/>
              </w:tabs>
              <w:adjustRightInd w:val="0"/>
              <w:snapToGrid w:val="0"/>
              <w:spacing w:line="240" w:lineRule="auto"/>
              <w:ind w:right="105" w:firstLine="0" w:firstLineChars="0"/>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提供资料：提供投标单位为授权代表缴纳社保的承诺函或社保缴纳证明材料。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6" w:hRule="atLeast"/>
          <w:jc w:val="center"/>
        </w:trPr>
        <w:tc>
          <w:tcPr>
            <w:tcW w:w="829"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23"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598" w:type="dxa"/>
            <w:gridSpan w:val="2"/>
          </w:tcPr>
          <w:p>
            <w:pPr>
              <w:pStyle w:val="11"/>
              <w:tabs>
                <w:tab w:val="left" w:pos="600"/>
              </w:tabs>
              <w:adjustRightInd w:val="0"/>
              <w:snapToGrid w:val="0"/>
              <w:spacing w:line="240" w:lineRule="auto"/>
              <w:ind w:left="0" w:leftChars="0" w:right="105" w:firstLine="420" w:firstLineChars="200"/>
              <w:jc w:val="left"/>
              <w:rPr>
                <w:rFonts w:hint="eastAsia" w:asciiTheme="majorEastAsia" w:hAnsiTheme="majorEastAsia" w:eastAsiaTheme="majorEastAsia" w:cstheme="majorEastAsia"/>
                <w:bCs/>
                <w:color w:val="auto"/>
                <w:sz w:val="21"/>
                <w:szCs w:val="21"/>
                <w:highlight w:val="none"/>
              </w:rPr>
            </w:pPr>
          </w:p>
          <w:p>
            <w:pPr>
              <w:pStyle w:val="11"/>
              <w:tabs>
                <w:tab w:val="left" w:pos="600"/>
              </w:tabs>
              <w:adjustRightInd w:val="0"/>
              <w:snapToGrid w:val="0"/>
              <w:spacing w:line="240" w:lineRule="auto"/>
              <w:ind w:left="0" w:leftChars="0" w:right="105" w:firstLine="420" w:firstLineChars="20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bCs/>
                <w:color w:val="auto"/>
                <w:sz w:val="21"/>
                <w:szCs w:val="21"/>
                <w:highlight w:val="none"/>
              </w:rPr>
              <w:t>根据项目实际，按照招标文件前文提出的要求，编写其他符合性审查内容</w:t>
            </w:r>
            <w:r>
              <w:rPr>
                <w:rFonts w:hint="eastAsia" w:asciiTheme="majorEastAsia" w:hAnsiTheme="majorEastAsia" w:eastAsiaTheme="majorEastAsia" w:cstheme="majorEastAsia"/>
                <w:color w:val="auto"/>
                <w:sz w:val="21"/>
                <w:szCs w:val="21"/>
                <w:highlight w:val="none"/>
              </w:rPr>
              <w:t>，如履约时间、方式、质量等</w:t>
            </w:r>
          </w:p>
        </w:tc>
        <w:tc>
          <w:tcPr>
            <w:tcW w:w="5789" w:type="dxa"/>
          </w:tcPr>
          <w:p>
            <w:pPr>
              <w:pStyle w:val="11"/>
              <w:tabs>
                <w:tab w:val="left" w:pos="600"/>
              </w:tabs>
              <w:adjustRightInd w:val="0"/>
              <w:snapToGrid w:val="0"/>
              <w:spacing w:line="240" w:lineRule="auto"/>
              <w:ind w:right="105" w:firstLine="0" w:firstLineChars="0"/>
              <w:jc w:val="center"/>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spacing w:line="240" w:lineRule="auto"/>
              <w:ind w:right="105" w:firstLine="210" w:firstLineChars="100"/>
              <w:jc w:val="center"/>
              <w:rPr>
                <w:rFonts w:hint="eastAsia" w:asciiTheme="majorEastAsia" w:hAnsiTheme="majorEastAsia" w:eastAsiaTheme="majorEastAsia" w:cstheme="majorEastAsia"/>
                <w:color w:val="auto"/>
                <w:sz w:val="21"/>
                <w:szCs w:val="21"/>
                <w:highlight w:val="none"/>
              </w:rPr>
            </w:pPr>
          </w:p>
          <w:p>
            <w:pPr>
              <w:pStyle w:val="11"/>
              <w:tabs>
                <w:tab w:val="left" w:pos="600"/>
              </w:tabs>
              <w:adjustRightInd w:val="0"/>
              <w:snapToGrid w:val="0"/>
              <w:spacing w:line="240" w:lineRule="auto"/>
              <w:ind w:right="105" w:firstLine="210" w:firstLineChars="100"/>
              <w:jc w:val="center"/>
              <w:rPr>
                <w:rFonts w:hint="eastAsia" w:asciiTheme="majorEastAsia" w:hAnsiTheme="majorEastAsia" w:eastAsiaTheme="majorEastAsia" w:cstheme="majorEastAsia"/>
                <w:color w:val="auto"/>
                <w:sz w:val="21"/>
                <w:szCs w:val="21"/>
                <w:highlight w:val="none"/>
              </w:rPr>
            </w:pPr>
          </w:p>
          <w:p>
            <w:pPr>
              <w:pStyle w:val="11"/>
              <w:tabs>
                <w:tab w:val="left" w:pos="600"/>
              </w:tabs>
              <w:adjustRightInd w:val="0"/>
              <w:snapToGrid w:val="0"/>
              <w:spacing w:line="240" w:lineRule="auto"/>
              <w:ind w:right="105" w:firstLine="210" w:firstLineChars="10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评审标准：符合招标文件要求。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1" w:hRule="atLeast"/>
          <w:jc w:val="center"/>
        </w:trPr>
        <w:tc>
          <w:tcPr>
            <w:tcW w:w="829"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auto"/>
                <w:sz w:val="21"/>
                <w:szCs w:val="21"/>
                <w:highlight w:val="none"/>
              </w:rPr>
            </w:pPr>
          </w:p>
        </w:tc>
        <w:tc>
          <w:tcPr>
            <w:tcW w:w="523" w:type="dxa"/>
            <w:vMerge w:val="continue"/>
          </w:tcPr>
          <w:p>
            <w:pPr>
              <w:widowControl/>
              <w:spacing w:line="240" w:lineRule="auto"/>
              <w:ind w:right="105" w:firstLine="0" w:firstLineChars="0"/>
              <w:jc w:val="left"/>
              <w:rPr>
                <w:rFonts w:asciiTheme="majorEastAsia" w:hAnsiTheme="majorEastAsia" w:eastAsiaTheme="majorEastAsia" w:cstheme="majorEastAsia"/>
                <w:color w:val="auto"/>
                <w:sz w:val="21"/>
                <w:szCs w:val="21"/>
                <w:highlight w:val="none"/>
              </w:rPr>
            </w:pPr>
          </w:p>
        </w:tc>
        <w:tc>
          <w:tcPr>
            <w:tcW w:w="2598" w:type="dxa"/>
            <w:gridSpan w:val="2"/>
          </w:tcPr>
          <w:p>
            <w:pPr>
              <w:pStyle w:val="11"/>
              <w:tabs>
                <w:tab w:val="left" w:pos="600"/>
              </w:tabs>
              <w:adjustRightInd w:val="0"/>
              <w:snapToGrid w:val="0"/>
              <w:spacing w:line="240" w:lineRule="auto"/>
              <w:ind w:right="105" w:firstLine="420"/>
              <w:jc w:val="left"/>
              <w:rPr>
                <w:rFonts w:hint="eastAsia" w:asciiTheme="majorEastAsia" w:hAnsiTheme="majorEastAsia" w:eastAsiaTheme="majorEastAsia" w:cstheme="majorEastAsia"/>
                <w:color w:val="auto"/>
                <w:sz w:val="21"/>
                <w:szCs w:val="21"/>
                <w:highlight w:val="none"/>
              </w:rPr>
            </w:pPr>
          </w:p>
          <w:p>
            <w:pPr>
              <w:pStyle w:val="11"/>
              <w:tabs>
                <w:tab w:val="left" w:pos="600"/>
              </w:tabs>
              <w:adjustRightInd w:val="0"/>
              <w:snapToGrid w:val="0"/>
              <w:spacing w:line="240" w:lineRule="auto"/>
              <w:ind w:right="105" w:firstLine="420"/>
              <w:jc w:val="left"/>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投标文件中是否存在其他未实质性响应招标文件的内容</w:t>
            </w:r>
          </w:p>
        </w:tc>
        <w:tc>
          <w:tcPr>
            <w:tcW w:w="5789" w:type="dxa"/>
          </w:tcPr>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p>
          <w:p>
            <w:pPr>
              <w:widowControl/>
              <w:spacing w:line="240" w:lineRule="auto"/>
              <w:ind w:right="105" w:firstLine="0" w:firstLineChars="0"/>
              <w:jc w:val="center"/>
              <w:rPr>
                <w:rFonts w:hint="eastAsia" w:asciiTheme="majorEastAsia" w:hAnsiTheme="majorEastAsia" w:eastAsiaTheme="majorEastAsia" w:cstheme="majorEastAsia"/>
                <w:color w:val="auto"/>
                <w:sz w:val="21"/>
                <w:szCs w:val="21"/>
                <w:highlight w:val="none"/>
              </w:rPr>
            </w:pPr>
          </w:p>
          <w:p>
            <w:pPr>
              <w:widowControl/>
              <w:spacing w:line="240" w:lineRule="auto"/>
              <w:ind w:right="105" w:firstLine="0" w:firstLineChars="0"/>
              <w:jc w:val="center"/>
              <w:rPr>
                <w:rFonts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评审标准：不存在其他未实质性响应招标文件的内容。</w:t>
            </w:r>
          </w:p>
        </w:tc>
      </w:tr>
    </w:tbl>
    <w:p>
      <w:pPr>
        <w:pStyle w:val="11"/>
        <w:tabs>
          <w:tab w:val="left" w:pos="600"/>
        </w:tabs>
        <w:adjustRightInd w:val="0"/>
        <w:snapToGrid w:val="0"/>
        <w:ind w:right="105" w:firstLine="480"/>
        <w:rPr>
          <w:rFonts w:hint="eastAsia" w:asciiTheme="majorEastAsia" w:hAnsiTheme="majorEastAsia" w:eastAsiaTheme="majorEastAsia" w:cstheme="majorEastAsia"/>
          <w:color w:val="auto"/>
          <w:sz w:val="21"/>
          <w:szCs w:val="21"/>
          <w:highlight w:val="none"/>
          <w:lang w:eastAsia="zh-CN"/>
        </w:rPr>
      </w:pPr>
      <w:r>
        <w:rPr>
          <w:rFonts w:hint="eastAsia" w:asciiTheme="majorEastAsia" w:hAnsiTheme="majorEastAsia" w:eastAsiaTheme="majorEastAsia" w:cstheme="majorEastAsia"/>
          <w:color w:val="auto"/>
          <w:sz w:val="24"/>
          <w:szCs w:val="24"/>
          <w:highlight w:val="none"/>
        </w:rPr>
        <w:t>4.2综合得分评分细则：</w:t>
      </w:r>
    </w:p>
    <w:tbl>
      <w:tblPr>
        <w:tblStyle w:val="31"/>
        <w:tblW w:w="978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
        <w:gridCol w:w="1243"/>
        <w:gridCol w:w="726"/>
        <w:gridCol w:w="6350"/>
        <w:gridCol w:w="1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3" w:hRule="atLeast"/>
          <w:jc w:val="center"/>
        </w:trPr>
        <w:tc>
          <w:tcPr>
            <w:tcW w:w="447"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序号</w:t>
            </w:r>
          </w:p>
        </w:tc>
        <w:tc>
          <w:tcPr>
            <w:tcW w:w="1243"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评分因素及权重</w:t>
            </w:r>
          </w:p>
        </w:tc>
        <w:tc>
          <w:tcPr>
            <w:tcW w:w="726"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分值</w:t>
            </w:r>
          </w:p>
        </w:tc>
        <w:tc>
          <w:tcPr>
            <w:tcW w:w="6350"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评分标准</w:t>
            </w:r>
          </w:p>
        </w:tc>
        <w:tc>
          <w:tcPr>
            <w:tcW w:w="1019" w:type="dxa"/>
            <w:vAlign w:val="center"/>
          </w:tcPr>
          <w:p>
            <w:pPr>
              <w:widowControl/>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7" w:hRule="atLeast"/>
          <w:jc w:val="center"/>
        </w:trPr>
        <w:tc>
          <w:tcPr>
            <w:tcW w:w="447" w:type="dxa"/>
            <w:vAlign w:val="center"/>
          </w:tcPr>
          <w:p>
            <w:pPr>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1</w:t>
            </w:r>
          </w:p>
        </w:tc>
        <w:tc>
          <w:tcPr>
            <w:tcW w:w="1243" w:type="dxa"/>
            <w:vAlign w:val="center"/>
          </w:tcPr>
          <w:p>
            <w:pPr>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rPr>
              <w:t>报价</w:t>
            </w:r>
            <w:r>
              <w:rPr>
                <w:rFonts w:hint="eastAsia" w:hAnsi="宋体" w:eastAsia="宋体" w:cs="宋体"/>
                <w:color w:val="auto"/>
                <w:sz w:val="21"/>
                <w:szCs w:val="21"/>
                <w:highlight w:val="none"/>
                <w:lang w:val="en-US" w:eastAsia="zh-CN"/>
              </w:rPr>
              <w:t>60</w:t>
            </w:r>
            <w:r>
              <w:rPr>
                <w:rFonts w:hint="eastAsia" w:hAnsi="宋体" w:eastAsia="宋体" w:cs="宋体"/>
                <w:color w:val="auto"/>
                <w:sz w:val="21"/>
                <w:szCs w:val="21"/>
                <w:highlight w:val="none"/>
              </w:rPr>
              <w:t>%</w:t>
            </w:r>
          </w:p>
        </w:tc>
        <w:tc>
          <w:tcPr>
            <w:tcW w:w="726" w:type="dxa"/>
            <w:vAlign w:val="center"/>
          </w:tcPr>
          <w:p>
            <w:pPr>
              <w:tabs>
                <w:tab w:val="left" w:pos="340"/>
              </w:tabs>
              <w:spacing w:line="240" w:lineRule="auto"/>
              <w:ind w:right="105" w:firstLine="0" w:firstLineChars="0"/>
              <w:jc w:val="center"/>
              <w:rPr>
                <w:rFonts w:hAnsi="宋体" w:eastAsia="宋体" w:cs="宋体"/>
                <w:color w:val="auto"/>
                <w:sz w:val="21"/>
                <w:szCs w:val="21"/>
                <w:highlight w:val="none"/>
              </w:rPr>
            </w:pPr>
            <w:r>
              <w:rPr>
                <w:rFonts w:hint="eastAsia" w:hAnsi="宋体" w:eastAsia="宋体" w:cs="宋体"/>
                <w:color w:val="auto"/>
                <w:sz w:val="21"/>
                <w:szCs w:val="21"/>
                <w:highlight w:val="none"/>
                <w:lang w:val="en-US" w:eastAsia="zh-CN"/>
              </w:rPr>
              <w:t>60</w:t>
            </w:r>
            <w:r>
              <w:rPr>
                <w:rFonts w:hint="eastAsia" w:hAnsi="宋体" w:eastAsia="宋体" w:cs="宋体"/>
                <w:color w:val="auto"/>
                <w:sz w:val="21"/>
                <w:szCs w:val="21"/>
                <w:highlight w:val="none"/>
              </w:rPr>
              <w:t>分</w:t>
            </w:r>
          </w:p>
        </w:tc>
        <w:tc>
          <w:tcPr>
            <w:tcW w:w="6350" w:type="dxa"/>
            <w:vAlign w:val="center"/>
          </w:tcPr>
          <w:p>
            <w:pPr>
              <w:widowControl/>
              <w:numPr>
                <w:ilvl w:val="255"/>
                <w:numId w:val="0"/>
              </w:numPr>
              <w:spacing w:line="240" w:lineRule="auto"/>
              <w:ind w:right="105"/>
              <w:jc w:val="left"/>
              <w:rPr>
                <w:rFonts w:hAnsi="宋体" w:eastAsia="宋体" w:cs="宋体"/>
                <w:color w:val="auto"/>
                <w:sz w:val="21"/>
                <w:szCs w:val="21"/>
                <w:highlight w:val="none"/>
              </w:rPr>
            </w:pPr>
            <w:r>
              <w:rPr>
                <w:rFonts w:hint="eastAsia" w:hAnsi="宋体" w:eastAsia="宋体" w:cs="宋体"/>
                <w:color w:val="auto"/>
                <w:sz w:val="21"/>
                <w:szCs w:val="21"/>
                <w:highlight w:val="none"/>
              </w:rPr>
              <w:t>1、符合招标文件要求的投标价格，</w:t>
            </w:r>
            <w:r>
              <w:rPr>
                <w:rFonts w:hint="eastAsia" w:hAnsi="宋体" w:eastAsia="宋体" w:cs="宋体"/>
                <w:color w:val="auto"/>
                <w:sz w:val="21"/>
                <w:szCs w:val="21"/>
                <w:highlight w:val="none"/>
                <w:lang w:val="en-US" w:eastAsia="zh-CN"/>
              </w:rPr>
              <w:t>投标报价的平均价</w:t>
            </w:r>
            <w:r>
              <w:rPr>
                <w:rFonts w:hint="eastAsia" w:hAnsi="宋体" w:eastAsia="宋体" w:cs="宋体"/>
                <w:color w:val="auto"/>
                <w:sz w:val="21"/>
                <w:szCs w:val="21"/>
                <w:highlight w:val="none"/>
              </w:rPr>
              <w:t>为评标基准价，其报价得分为满分。其他投标人的价格分，统一按照下列公式计算：投标报价得分=(评标基准价÷投标报价)×</w:t>
            </w:r>
            <w:r>
              <w:rPr>
                <w:rFonts w:hint="eastAsia" w:hAnsi="宋体" w:eastAsia="宋体" w:cs="宋体"/>
                <w:color w:val="auto"/>
                <w:sz w:val="21"/>
                <w:szCs w:val="21"/>
                <w:highlight w:val="none"/>
                <w:lang w:val="en-US" w:eastAsia="zh-CN"/>
              </w:rPr>
              <w:t>60</w:t>
            </w:r>
            <w:r>
              <w:rPr>
                <w:rFonts w:hint="eastAsia" w:hAnsi="宋体" w:eastAsia="宋体" w:cs="宋体"/>
                <w:color w:val="auto"/>
                <w:sz w:val="21"/>
                <w:szCs w:val="21"/>
                <w:highlight w:val="none"/>
              </w:rPr>
              <w:t>×100%，小数点后保留2位。</w:t>
            </w:r>
          </w:p>
          <w:p>
            <w:pPr>
              <w:widowControl/>
              <w:numPr>
                <w:ilvl w:val="255"/>
                <w:numId w:val="0"/>
              </w:numPr>
              <w:spacing w:line="240" w:lineRule="auto"/>
              <w:ind w:right="105"/>
              <w:jc w:val="left"/>
              <w:rPr>
                <w:rFonts w:hAnsi="宋体" w:eastAsia="宋体" w:cs="宋体"/>
                <w:color w:val="auto"/>
                <w:sz w:val="21"/>
                <w:szCs w:val="21"/>
                <w:highlight w:val="none"/>
              </w:rPr>
            </w:pPr>
            <w:r>
              <w:rPr>
                <w:rFonts w:hint="eastAsia" w:hAnsi="宋体" w:eastAsia="宋体" w:cs="宋体"/>
                <w:color w:val="auto"/>
                <w:sz w:val="21"/>
                <w:szCs w:val="21"/>
                <w:highlight w:val="none"/>
              </w:rPr>
              <w:t>2、若</w:t>
            </w:r>
            <w:r>
              <w:rPr>
                <w:rFonts w:hint="eastAsia" w:hAnsi="宋体" w:eastAsia="宋体" w:cs="宋体"/>
                <w:color w:val="auto"/>
                <w:sz w:val="21"/>
                <w:szCs w:val="21"/>
                <w:highlight w:val="none"/>
                <w:lang w:val="en-US" w:eastAsia="zh-CN"/>
              </w:rPr>
              <w:t>投标</w:t>
            </w:r>
            <w:r>
              <w:rPr>
                <w:rFonts w:hint="eastAsia" w:hAnsi="宋体" w:eastAsia="宋体" w:cs="宋体"/>
                <w:color w:val="auto"/>
                <w:sz w:val="21"/>
                <w:szCs w:val="21"/>
                <w:highlight w:val="none"/>
              </w:rPr>
              <w:t>报价超出</w:t>
            </w:r>
            <w:r>
              <w:rPr>
                <w:rFonts w:hint="eastAsia" w:hAnsi="宋体" w:eastAsia="宋体" w:cs="宋体"/>
                <w:color w:val="auto"/>
                <w:sz w:val="21"/>
                <w:szCs w:val="21"/>
                <w:highlight w:val="none"/>
                <w:lang w:eastAsia="zh-CN"/>
              </w:rPr>
              <w:t>各标段</w:t>
            </w:r>
            <w:r>
              <w:rPr>
                <w:rFonts w:hint="eastAsia" w:hAnsi="宋体" w:eastAsia="宋体" w:cs="宋体"/>
                <w:color w:val="auto"/>
                <w:sz w:val="21"/>
                <w:szCs w:val="21"/>
                <w:highlight w:val="none"/>
              </w:rPr>
              <w:t>最高限价，</w:t>
            </w:r>
            <w:r>
              <w:rPr>
                <w:rFonts w:hint="eastAsia" w:hAnsi="宋体" w:eastAsia="宋体" w:cs="宋体"/>
                <w:color w:val="auto"/>
                <w:sz w:val="21"/>
                <w:szCs w:val="21"/>
                <w:highlight w:val="none"/>
                <w:lang w:val="en-US" w:eastAsia="zh-CN"/>
              </w:rPr>
              <w:t>则投标无效。</w:t>
            </w:r>
          </w:p>
        </w:tc>
        <w:tc>
          <w:tcPr>
            <w:tcW w:w="1019" w:type="dxa"/>
            <w:vAlign w:val="center"/>
          </w:tcPr>
          <w:p>
            <w:pPr>
              <w:spacing w:line="240" w:lineRule="auto"/>
              <w:ind w:right="105" w:firstLine="0" w:firstLineChars="0"/>
              <w:jc w:val="center"/>
              <w:rPr>
                <w:rFonts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jc w:val="center"/>
        </w:trPr>
        <w:tc>
          <w:tcPr>
            <w:tcW w:w="447" w:type="dxa"/>
            <w:vAlign w:val="center"/>
          </w:tcPr>
          <w:p>
            <w:pPr>
              <w:widowControl/>
              <w:spacing w:line="240" w:lineRule="auto"/>
              <w:ind w:right="105" w:firstLine="0" w:firstLineChars="0"/>
              <w:jc w:val="center"/>
              <w:rPr>
                <w:rFonts w:hint="eastAsia" w:hAnsi="宋体" w:eastAsia="宋体" w:cs="宋体"/>
                <w:color w:val="auto"/>
                <w:sz w:val="21"/>
                <w:szCs w:val="21"/>
                <w:highlight w:val="none"/>
                <w:lang w:val="en-US" w:eastAsia="zh-CN"/>
              </w:rPr>
            </w:pPr>
            <w:r>
              <w:rPr>
                <w:rFonts w:hint="eastAsia" w:hAnsi="宋体" w:eastAsia="宋体" w:cs="宋体"/>
                <w:color w:val="auto"/>
                <w:sz w:val="21"/>
                <w:szCs w:val="21"/>
                <w:highlight w:val="none"/>
                <w:lang w:val="en-US" w:eastAsia="zh-CN"/>
              </w:rPr>
              <w:t>2</w:t>
            </w:r>
          </w:p>
        </w:tc>
        <w:tc>
          <w:tcPr>
            <w:tcW w:w="1243" w:type="dxa"/>
            <w:shd w:val="clear" w:color="auto" w:fill="auto"/>
            <w:vAlign w:val="center"/>
          </w:tcPr>
          <w:p>
            <w:pPr>
              <w:widowControl/>
              <w:spacing w:line="240" w:lineRule="auto"/>
              <w:ind w:right="105" w:rightChars="0" w:firstLine="0" w:firstLineChars="0"/>
              <w:jc w:val="both"/>
              <w:rPr>
                <w:rFonts w:ascii="宋体" w:hAnsi="宋体" w:eastAsia="宋体" w:cs="宋体"/>
                <w:color w:val="auto"/>
                <w:sz w:val="21"/>
                <w:szCs w:val="21"/>
                <w:highlight w:val="none"/>
                <w:lang w:val="en-US" w:eastAsia="zh-CN" w:bidi="ar-SA"/>
              </w:rPr>
            </w:pPr>
            <w:r>
              <w:rPr>
                <w:rFonts w:hint="eastAsia" w:hAnsi="宋体" w:eastAsia="宋体" w:cs="宋体"/>
                <w:color w:val="auto"/>
                <w:sz w:val="21"/>
                <w:szCs w:val="21"/>
                <w:highlight w:val="none"/>
                <w:lang w:eastAsia="zh-CN"/>
              </w:rPr>
              <w:t>针对性服务方案</w:t>
            </w:r>
            <w:r>
              <w:rPr>
                <w:rFonts w:hint="eastAsia" w:hAnsi="宋体" w:eastAsia="宋体" w:cs="宋体"/>
                <w:color w:val="auto"/>
                <w:sz w:val="21"/>
                <w:szCs w:val="21"/>
                <w:highlight w:val="none"/>
                <w:lang w:val="en-US" w:eastAsia="zh-CN"/>
              </w:rPr>
              <w:t>40</w:t>
            </w:r>
            <w:r>
              <w:rPr>
                <w:rFonts w:hint="eastAsia" w:hAnsi="宋体" w:eastAsia="宋体" w:cs="宋体"/>
                <w:color w:val="auto"/>
                <w:sz w:val="21"/>
                <w:szCs w:val="21"/>
                <w:highlight w:val="none"/>
              </w:rPr>
              <w:t>%</w:t>
            </w:r>
          </w:p>
        </w:tc>
        <w:tc>
          <w:tcPr>
            <w:tcW w:w="726" w:type="dxa"/>
            <w:shd w:val="clear" w:color="auto" w:fill="auto"/>
            <w:vAlign w:val="center"/>
          </w:tcPr>
          <w:p>
            <w:pPr>
              <w:widowControl/>
              <w:spacing w:line="240" w:lineRule="auto"/>
              <w:ind w:right="105" w:rightChars="0" w:firstLine="0" w:firstLineChars="0"/>
              <w:jc w:val="center"/>
              <w:rPr>
                <w:rFonts w:ascii="宋体" w:hAnsi="宋体" w:eastAsia="宋体" w:cs="宋体"/>
                <w:color w:val="auto"/>
                <w:sz w:val="21"/>
                <w:szCs w:val="21"/>
                <w:highlight w:val="none"/>
                <w:lang w:val="en-US" w:eastAsia="zh-CN" w:bidi="ar-SA"/>
              </w:rPr>
            </w:pPr>
            <w:r>
              <w:rPr>
                <w:rFonts w:hint="eastAsia" w:hAnsi="宋体" w:eastAsia="宋体" w:cs="宋体"/>
                <w:color w:val="auto"/>
                <w:sz w:val="21"/>
                <w:szCs w:val="21"/>
                <w:highlight w:val="none"/>
                <w:lang w:val="en-US" w:eastAsia="zh-CN"/>
              </w:rPr>
              <w:t>40</w:t>
            </w:r>
            <w:r>
              <w:rPr>
                <w:rFonts w:hint="eastAsia" w:hAnsi="宋体" w:eastAsia="宋体" w:cs="宋体"/>
                <w:color w:val="auto"/>
                <w:sz w:val="21"/>
                <w:szCs w:val="21"/>
                <w:highlight w:val="none"/>
              </w:rPr>
              <w:t>分</w:t>
            </w:r>
          </w:p>
        </w:tc>
        <w:tc>
          <w:tcPr>
            <w:tcW w:w="6350" w:type="dxa"/>
            <w:shd w:val="clear" w:color="auto" w:fill="auto"/>
            <w:vAlign w:val="center"/>
          </w:tcPr>
          <w:p>
            <w:pPr>
              <w:widowControl/>
              <w:spacing w:line="240" w:lineRule="auto"/>
              <w:ind w:right="105" w:rightChars="0" w:firstLine="0" w:firstLineChars="0"/>
              <w:jc w:val="left"/>
              <w:rPr>
                <w:rFonts w:ascii="宋体" w:hAnsi="等线" w:eastAsia="宋体" w:cs="等线"/>
                <w:color w:val="auto"/>
                <w:sz w:val="34"/>
                <w:highlight w:val="none"/>
                <w:lang w:val="en-US" w:eastAsia="zh-CN" w:bidi="ar-SA"/>
              </w:rPr>
            </w:pPr>
            <w:r>
              <w:rPr>
                <w:rFonts w:hAnsi="宋体" w:eastAsia="宋体" w:cs="宋体"/>
                <w:color w:val="auto"/>
                <w:sz w:val="21"/>
                <w:szCs w:val="21"/>
                <w:highlight w:val="none"/>
              </w:rPr>
              <w:t>投标</w:t>
            </w:r>
            <w:r>
              <w:rPr>
                <w:rFonts w:hint="eastAsia" w:hAnsi="宋体" w:eastAsia="宋体" w:cs="宋体"/>
                <w:color w:val="auto"/>
                <w:sz w:val="21"/>
                <w:szCs w:val="21"/>
                <w:highlight w:val="none"/>
              </w:rPr>
              <w:t>人针对投标项目特点，制定</w:t>
            </w:r>
            <w:r>
              <w:rPr>
                <w:rFonts w:hint="eastAsia" w:hAnsi="宋体" w:eastAsia="宋体" w:cs="宋体"/>
                <w:color w:val="auto"/>
                <w:sz w:val="21"/>
                <w:szCs w:val="21"/>
                <w:highlight w:val="none"/>
                <w:lang w:eastAsia="zh-CN"/>
              </w:rPr>
              <w:t>保洁</w:t>
            </w:r>
            <w:r>
              <w:rPr>
                <w:rFonts w:hAnsi="宋体" w:eastAsia="宋体" w:cs="宋体"/>
                <w:color w:val="auto"/>
                <w:sz w:val="21"/>
                <w:szCs w:val="21"/>
                <w:highlight w:val="none"/>
              </w:rPr>
              <w:t>团队的管理架构、</w:t>
            </w:r>
            <w:r>
              <w:rPr>
                <w:rFonts w:hint="eastAsia" w:hAnsi="宋体" w:eastAsia="宋体" w:cs="宋体"/>
                <w:color w:val="auto"/>
                <w:sz w:val="21"/>
                <w:szCs w:val="21"/>
                <w:highlight w:val="none"/>
                <w:lang w:eastAsia="zh-CN"/>
              </w:rPr>
              <w:t>岗位设置、人员配置、</w:t>
            </w:r>
            <w:r>
              <w:rPr>
                <w:rFonts w:hAnsi="宋体" w:eastAsia="宋体" w:cs="宋体"/>
                <w:color w:val="auto"/>
                <w:sz w:val="21"/>
                <w:szCs w:val="21"/>
                <w:highlight w:val="none"/>
              </w:rPr>
              <w:t>运作机制</w:t>
            </w:r>
            <w:r>
              <w:rPr>
                <w:rFonts w:hint="eastAsia" w:hAnsi="宋体" w:eastAsia="宋体" w:cs="宋体"/>
                <w:color w:val="auto"/>
                <w:sz w:val="21"/>
                <w:szCs w:val="21"/>
                <w:highlight w:val="none"/>
              </w:rPr>
              <w:t>、</w:t>
            </w:r>
            <w:r>
              <w:rPr>
                <w:rFonts w:hint="eastAsia" w:hAnsi="宋体" w:eastAsia="宋体" w:cs="宋体"/>
                <w:color w:val="auto"/>
                <w:sz w:val="21"/>
                <w:szCs w:val="21"/>
                <w:highlight w:val="none"/>
                <w:lang w:eastAsia="zh-CN"/>
              </w:rPr>
              <w:t>检查考核方案、</w:t>
            </w:r>
            <w:r>
              <w:rPr>
                <w:rFonts w:hAnsi="宋体" w:eastAsia="宋体" w:cs="宋体"/>
                <w:color w:val="auto"/>
                <w:sz w:val="21"/>
                <w:szCs w:val="21"/>
                <w:highlight w:val="none"/>
              </w:rPr>
              <w:t>规章制度</w:t>
            </w:r>
            <w:r>
              <w:rPr>
                <w:rFonts w:hint="eastAsia" w:hAnsi="宋体" w:eastAsia="宋体" w:cs="宋体"/>
                <w:color w:val="auto"/>
                <w:sz w:val="21"/>
                <w:szCs w:val="21"/>
                <w:highlight w:val="none"/>
              </w:rPr>
              <w:t>、</w:t>
            </w:r>
            <w:r>
              <w:rPr>
                <w:rFonts w:hAnsi="宋体" w:eastAsia="宋体" w:cs="宋体"/>
                <w:color w:val="auto"/>
                <w:sz w:val="21"/>
                <w:szCs w:val="21"/>
                <w:highlight w:val="none"/>
              </w:rPr>
              <w:t>培训体系（</w:t>
            </w:r>
            <w:r>
              <w:rPr>
                <w:rFonts w:hint="eastAsia" w:hAnsi="宋体" w:eastAsia="宋体" w:cs="宋体"/>
                <w:color w:val="auto"/>
                <w:sz w:val="21"/>
                <w:szCs w:val="21"/>
                <w:highlight w:val="none"/>
              </w:rPr>
              <w:t>专业能力、服务能力、安全管理、</w:t>
            </w:r>
            <w:r>
              <w:rPr>
                <w:rFonts w:hAnsi="宋体" w:eastAsia="宋体" w:cs="宋体"/>
                <w:color w:val="auto"/>
                <w:sz w:val="21"/>
                <w:szCs w:val="21"/>
                <w:highlight w:val="none"/>
              </w:rPr>
              <w:t>应急处理能力</w:t>
            </w:r>
            <w:r>
              <w:rPr>
                <w:rFonts w:hint="eastAsia" w:hAnsi="宋体" w:eastAsia="宋体" w:cs="宋体"/>
                <w:color w:val="auto"/>
                <w:sz w:val="21"/>
                <w:szCs w:val="21"/>
                <w:highlight w:val="none"/>
              </w:rPr>
              <w:t>等</w:t>
            </w:r>
            <w:r>
              <w:rPr>
                <w:rFonts w:hAnsi="宋体" w:eastAsia="宋体" w:cs="宋体"/>
                <w:color w:val="auto"/>
                <w:sz w:val="21"/>
                <w:szCs w:val="21"/>
                <w:highlight w:val="none"/>
              </w:rPr>
              <w:t>）</w:t>
            </w:r>
            <w:r>
              <w:rPr>
                <w:rFonts w:hint="eastAsia" w:hAnsi="宋体" w:eastAsia="宋体" w:cs="宋体"/>
                <w:color w:val="auto"/>
                <w:sz w:val="21"/>
                <w:szCs w:val="21"/>
                <w:highlight w:val="none"/>
              </w:rPr>
              <w:t>等针对性</w:t>
            </w:r>
            <w:r>
              <w:rPr>
                <w:rFonts w:hint="eastAsia" w:hAnsi="宋体" w:eastAsia="宋体" w:cs="宋体"/>
                <w:color w:val="auto"/>
                <w:sz w:val="21"/>
                <w:szCs w:val="21"/>
                <w:highlight w:val="none"/>
                <w:lang w:eastAsia="zh-CN"/>
              </w:rPr>
              <w:t>服务方案、</w:t>
            </w:r>
            <w:r>
              <w:rPr>
                <w:rFonts w:hint="eastAsia" w:hAnsi="宋体" w:eastAsia="宋体" w:cs="宋体"/>
                <w:color w:val="auto"/>
                <w:sz w:val="21"/>
                <w:szCs w:val="21"/>
                <w:highlight w:val="none"/>
              </w:rPr>
              <w:t>规范文件。</w:t>
            </w:r>
            <w:r>
              <w:rPr>
                <w:rFonts w:hint="eastAsia" w:hAnsi="宋体" w:eastAsia="宋体" w:cs="宋体"/>
                <w:color w:val="auto"/>
                <w:sz w:val="21"/>
                <w:szCs w:val="21"/>
                <w:highlight w:val="none"/>
                <w:lang w:val="en-US" w:eastAsia="zh-CN"/>
              </w:rPr>
              <w:t>不符合0-10分，基本符合11-30分，符合31分-40分</w:t>
            </w:r>
            <w:r>
              <w:rPr>
                <w:rFonts w:hint="eastAsia" w:hAnsi="宋体" w:eastAsia="宋体" w:cs="宋体"/>
                <w:color w:val="auto"/>
                <w:sz w:val="21"/>
                <w:szCs w:val="21"/>
                <w:highlight w:val="none"/>
              </w:rPr>
              <w:t>。</w:t>
            </w:r>
          </w:p>
        </w:tc>
        <w:tc>
          <w:tcPr>
            <w:tcW w:w="1019" w:type="dxa"/>
            <w:vAlign w:val="center"/>
          </w:tcPr>
          <w:p>
            <w:pPr>
              <w:widowControl/>
              <w:spacing w:line="240" w:lineRule="auto"/>
              <w:ind w:right="105" w:firstLine="0" w:firstLineChars="0"/>
              <w:jc w:val="center"/>
              <w:rPr>
                <w:rFonts w:hAnsi="宋体" w:eastAsia="宋体" w:cs="宋体"/>
                <w:color w:val="auto"/>
                <w:sz w:val="21"/>
                <w:szCs w:val="21"/>
                <w:highlight w:val="none"/>
              </w:rPr>
            </w:pPr>
          </w:p>
        </w:tc>
      </w:tr>
    </w:tbl>
    <w:p>
      <w:pPr>
        <w:spacing w:line="240" w:lineRule="auto"/>
        <w:ind w:right="105" w:firstLine="0" w:firstLineChars="0"/>
        <w:jc w:val="left"/>
        <w:rPr>
          <w:rFonts w:asciiTheme="majorEastAsia" w:hAnsiTheme="majorEastAsia" w:eastAsiaTheme="majorEastAsia" w:cstheme="majorEastAsia"/>
          <w:color w:val="auto"/>
          <w:sz w:val="21"/>
          <w:szCs w:val="21"/>
          <w:highlight w:val="none"/>
        </w:rPr>
      </w:pPr>
    </w:p>
    <w:p>
      <w:pPr>
        <w:pStyle w:val="11"/>
        <w:tabs>
          <w:tab w:val="left" w:pos="600"/>
        </w:tabs>
        <w:adjustRightInd w:val="0"/>
        <w:snapToGrid w:val="0"/>
        <w:ind w:right="105" w:firstLine="48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
          <w:color w:val="auto"/>
          <w:sz w:val="24"/>
          <w:szCs w:val="24"/>
          <w:highlight w:val="none"/>
        </w:rPr>
        <w:t>注：以综合得分四舍五入，保留2位小数。</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5. 终止招标</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招标人因自身原因或受外部因素影响，有权决定终止本次招标活动。投标人已发生的相关投标费用由投标人自行承担。</w:t>
      </w:r>
    </w:p>
    <w:p>
      <w:pPr>
        <w:ind w:right="105" w:firstLine="482"/>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b/>
          <w:bCs/>
          <w:color w:val="auto"/>
          <w:sz w:val="24"/>
          <w:szCs w:val="24"/>
          <w:highlight w:val="none"/>
        </w:rPr>
        <w:t>6．废 标</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6.1本次采购活动中，出现下列情形之一的，予以废标：</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（1）出现影响采购公正的违法、违规行为的；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（2）投标人的报价均超过了采购预算，招标人不能支付的；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（3）因重大变故，采购任务取消的。</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若投标人对废标情形的原因和理由有疑问，可通过书面形式向招标采购单位提出咨询。</w:t>
      </w:r>
    </w:p>
    <w:p>
      <w:pPr>
        <w:ind w:right="105" w:firstLine="482"/>
        <w:rPr>
          <w:rFonts w:asciiTheme="majorEastAsia" w:hAnsiTheme="majorEastAsia" w:eastAsiaTheme="majorEastAsia" w:cstheme="majorEastAsia"/>
          <w:b/>
          <w:bCs/>
          <w:color w:val="auto"/>
          <w:sz w:val="24"/>
          <w:szCs w:val="24"/>
          <w:highlight w:val="none"/>
        </w:rPr>
      </w:pPr>
      <w:r>
        <w:rPr>
          <w:rFonts w:hint="eastAsia" w:asciiTheme="majorEastAsia" w:hAnsiTheme="majorEastAsia" w:eastAsiaTheme="majorEastAsia" w:cstheme="majorEastAsia"/>
          <w:b/>
          <w:bCs/>
          <w:color w:val="auto"/>
          <w:sz w:val="24"/>
          <w:szCs w:val="24"/>
          <w:highlight w:val="none"/>
        </w:rPr>
        <w:t>7．定标</w:t>
      </w:r>
      <w:bookmarkStart w:id="20" w:name="_Toc217446061"/>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7.1 定标原则</w:t>
      </w:r>
      <w:bookmarkEnd w:id="20"/>
      <w:r>
        <w:rPr>
          <w:rFonts w:hint="eastAsia" w:asciiTheme="majorEastAsia" w:hAnsiTheme="majorEastAsia" w:eastAsiaTheme="majorEastAsia" w:cstheme="majorEastAsia"/>
          <w:color w:val="auto"/>
          <w:sz w:val="24"/>
          <w:szCs w:val="24"/>
          <w:highlight w:val="none"/>
        </w:rPr>
        <w:t>：本项目根据评标小组推荐的中标候选人名单，原则上按每个项目综合得分由高到低顺位顺序确定中标人。</w:t>
      </w:r>
    </w:p>
    <w:p>
      <w:pPr>
        <w:ind w:right="105" w:firstLine="482"/>
        <w:rPr>
          <w:rFonts w:asciiTheme="majorEastAsia" w:hAnsiTheme="majorEastAsia" w:eastAsiaTheme="majorEastAsia" w:cstheme="majorEastAsia"/>
          <w:b/>
          <w:color w:val="auto"/>
          <w:sz w:val="24"/>
          <w:szCs w:val="24"/>
          <w:highlight w:val="none"/>
        </w:rPr>
      </w:pPr>
      <w:r>
        <w:rPr>
          <w:rFonts w:hint="eastAsia" w:asciiTheme="majorEastAsia" w:hAnsiTheme="majorEastAsia" w:eastAsiaTheme="majorEastAsia" w:cstheme="majorEastAsia"/>
          <w:b/>
          <w:color w:val="auto"/>
          <w:sz w:val="24"/>
          <w:szCs w:val="24"/>
          <w:highlight w:val="none"/>
        </w:rPr>
        <w:t>注意，招标人按照推荐的中标候选人顺序确定中标人，不能认为招标人只能确定第一中标候选人为中标人，招标人有正当理由的，可以确定后一顺序中标候选人为中标人，依此类推。</w:t>
      </w:r>
    </w:p>
    <w:p>
      <w:pPr>
        <w:ind w:right="105" w:firstLine="480"/>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7.2 招标采购单位原则上不退回投标人投标文件和其他投标资料。</w:t>
      </w:r>
    </w:p>
    <w:p>
      <w:pPr>
        <w:pStyle w:val="8"/>
        <w:ind w:right="105" w:firstLine="0" w:firstLineChars="0"/>
        <w:rPr>
          <w:rFonts w:asciiTheme="majorEastAsia" w:hAnsiTheme="majorEastAsia" w:eastAsiaTheme="majorEastAsia" w:cstheme="majorEastAsia"/>
          <w:b/>
          <w:bCs/>
          <w:color w:val="auto"/>
          <w:sz w:val="32"/>
          <w:szCs w:val="32"/>
          <w:highlight w:val="none"/>
        </w:rPr>
      </w:pPr>
      <w:r>
        <w:rPr>
          <w:rFonts w:hint="eastAsia" w:asciiTheme="majorEastAsia" w:hAnsiTheme="majorEastAsia" w:eastAsiaTheme="majorEastAsia" w:cstheme="majorEastAsia"/>
          <w:color w:val="auto"/>
          <w:sz w:val="24"/>
          <w:szCs w:val="24"/>
          <w:highlight w:val="none"/>
        </w:rPr>
        <w:br w:type="page"/>
      </w:r>
    </w:p>
    <w:p>
      <w:pPr>
        <w:ind w:right="105" w:firstLine="0" w:firstLineChars="0"/>
        <w:jc w:val="center"/>
        <w:outlineLvl w:val="0"/>
        <w:rPr>
          <w:rFonts w:asciiTheme="majorEastAsia" w:hAnsiTheme="majorEastAsia" w:eastAsiaTheme="majorEastAsia" w:cstheme="majorEastAsia"/>
          <w:b/>
          <w:bCs/>
          <w:color w:val="auto"/>
          <w:sz w:val="32"/>
          <w:szCs w:val="32"/>
          <w:highlight w:val="none"/>
        </w:rPr>
      </w:pPr>
      <w:bookmarkStart w:id="21" w:name="_Toc25949"/>
      <w:r>
        <w:rPr>
          <w:rFonts w:hint="eastAsia" w:asciiTheme="majorEastAsia" w:hAnsiTheme="majorEastAsia" w:eastAsiaTheme="majorEastAsia" w:cstheme="majorEastAsia"/>
          <w:b/>
          <w:bCs/>
          <w:color w:val="auto"/>
          <w:sz w:val="32"/>
          <w:szCs w:val="32"/>
          <w:highlight w:val="none"/>
        </w:rPr>
        <w:t>第五章  投标文件格式</w:t>
      </w:r>
      <w:bookmarkEnd w:id="21"/>
    </w:p>
    <w:p>
      <w:pPr>
        <w:widowControl/>
        <w:snapToGrid w:val="0"/>
        <w:ind w:right="105" w:firstLine="482"/>
        <w:jc w:val="left"/>
        <w:rPr>
          <w:rFonts w:asciiTheme="majorEastAsia" w:hAnsiTheme="majorEastAsia" w:eastAsiaTheme="majorEastAsia" w:cstheme="majorEastAsia"/>
          <w:b/>
          <w:color w:val="auto"/>
          <w:sz w:val="24"/>
          <w:szCs w:val="24"/>
          <w:highlight w:val="none"/>
        </w:rPr>
      </w:pPr>
    </w:p>
    <w:p>
      <w:pPr>
        <w:widowControl/>
        <w:snapToGrid w:val="0"/>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一、本章所指投标文件格式，除格式中明确将该格式作为实质性要求的，一律不具有强制性，但是，投标文件相关资料和本章所指格式不一致时，由此对投标人带来不利的评标结果，由投标人自行承担。</w:t>
      </w:r>
    </w:p>
    <w:p>
      <w:pPr>
        <w:widowControl/>
        <w:snapToGrid w:val="0"/>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二、本章所指投标文件格式有关表格中的备注栏，由投标人根据自身投标情况作解释性说明，不作为必填项。</w:t>
      </w:r>
    </w:p>
    <w:p>
      <w:pPr>
        <w:widowControl/>
        <w:snapToGrid w:val="0"/>
        <w:ind w:right="105" w:firstLine="480"/>
        <w:jc w:val="left"/>
        <w:rPr>
          <w:rFonts w:asciiTheme="majorEastAsia" w:hAnsiTheme="majorEastAsia" w:eastAsiaTheme="majorEastAsia" w:cstheme="majorEastAsia"/>
          <w:color w:val="auto"/>
          <w:sz w:val="24"/>
          <w:szCs w:val="24"/>
          <w:highlight w:val="none"/>
        </w:rPr>
      </w:pPr>
      <w:r>
        <w:rPr>
          <w:rFonts w:hint="eastAsia" w:asciiTheme="majorEastAsia" w:hAnsiTheme="majorEastAsia" w:eastAsiaTheme="majorEastAsia" w:cstheme="majorEastAsia"/>
          <w:color w:val="auto"/>
          <w:sz w:val="24"/>
          <w:szCs w:val="24"/>
          <w:highlight w:val="none"/>
        </w:rPr>
        <w:t>三、本章所制投标文件格式中需要填写的相关内容事项，可能会与本采购项目无关，投标人在不改变投标文件核心意图且不影响本项目采购需求的前提下，可选择不填写相关内容，但需在适当位置予以说明。</w:t>
      </w:r>
    </w:p>
    <w:p>
      <w:pPr>
        <w:widowControl/>
        <w:spacing w:line="360" w:lineRule="atLeast"/>
        <w:ind w:right="105" w:firstLine="0" w:firstLineChars="0"/>
        <w:rPr>
          <w:rFonts w:hAnsi="宋体" w:eastAsia="宋体" w:cs="宋体"/>
          <w:bCs/>
          <w:color w:val="auto"/>
          <w:sz w:val="28"/>
          <w:szCs w:val="28"/>
          <w:highlight w:val="none"/>
        </w:rPr>
      </w:pPr>
      <w:bookmarkStart w:id="22" w:name="_Toc217446107"/>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p>
    <w:p>
      <w:pPr>
        <w:pStyle w:val="29"/>
        <w:rPr>
          <w:rFonts w:hAnsi="宋体" w:eastAsia="宋体" w:cs="宋体"/>
          <w:bCs/>
          <w:color w:val="auto"/>
          <w:sz w:val="28"/>
          <w:szCs w:val="28"/>
          <w:highlight w:val="none"/>
        </w:rPr>
      </w:pPr>
    </w:p>
    <w:p>
      <w:pPr>
        <w:pStyle w:val="29"/>
        <w:rPr>
          <w:rFonts w:hAnsi="宋体" w:eastAsia="宋体" w:cs="宋体"/>
          <w:bCs/>
          <w:color w:val="auto"/>
          <w:sz w:val="28"/>
          <w:szCs w:val="28"/>
          <w:highlight w:val="none"/>
        </w:rPr>
      </w:pPr>
    </w:p>
    <w:p>
      <w:pPr>
        <w:pStyle w:val="29"/>
        <w:rPr>
          <w:rFonts w:hAnsi="宋体" w:eastAsia="宋体" w:cs="宋体"/>
          <w:bCs/>
          <w:color w:val="auto"/>
          <w:sz w:val="28"/>
          <w:szCs w:val="28"/>
          <w:highlight w:val="none"/>
        </w:rPr>
      </w:pPr>
    </w:p>
    <w:p>
      <w:pPr>
        <w:pStyle w:val="29"/>
        <w:rPr>
          <w:rFonts w:hAnsi="宋体" w:eastAsia="宋体" w:cs="宋体"/>
          <w:bCs/>
          <w:color w:val="auto"/>
          <w:sz w:val="28"/>
          <w:szCs w:val="28"/>
          <w:highlight w:val="none"/>
        </w:rPr>
      </w:pPr>
    </w:p>
    <w:p>
      <w:pPr>
        <w:pStyle w:val="29"/>
        <w:rPr>
          <w:rFonts w:hAnsi="宋体" w:eastAsia="宋体" w:cs="宋体"/>
          <w:bCs/>
          <w:color w:val="auto"/>
          <w:sz w:val="28"/>
          <w:szCs w:val="28"/>
          <w:highlight w:val="none"/>
        </w:rPr>
      </w:pPr>
    </w:p>
    <w:p>
      <w:pPr>
        <w:widowControl/>
        <w:spacing w:line="360" w:lineRule="atLeast"/>
        <w:ind w:right="105" w:firstLine="0" w:firstLineChars="0"/>
        <w:rPr>
          <w:rFonts w:hAnsi="宋体" w:eastAsia="宋体" w:cs="宋体"/>
          <w:bCs/>
          <w:color w:val="auto"/>
          <w:sz w:val="28"/>
          <w:szCs w:val="28"/>
          <w:highlight w:val="none"/>
        </w:rPr>
      </w:pPr>
      <w:r>
        <w:rPr>
          <w:rFonts w:hint="eastAsia" w:hAnsi="宋体" w:eastAsia="宋体" w:cs="宋体"/>
          <w:bCs/>
          <w:color w:val="auto"/>
          <w:sz w:val="28"/>
          <w:szCs w:val="28"/>
          <w:highlight w:val="none"/>
        </w:rPr>
        <w:t>附件1：</w:t>
      </w:r>
      <w:r>
        <w:rPr>
          <w:rFonts w:hint="eastAsia" w:hAnsi="宋体" w:eastAsia="宋体" w:cs="宋体"/>
          <w:color w:val="auto"/>
          <w:sz w:val="28"/>
          <w:szCs w:val="28"/>
          <w:highlight w:val="none"/>
        </w:rPr>
        <w:t>商务部分投标文件封面</w:t>
      </w:r>
    </w:p>
    <w:p>
      <w:pPr>
        <w:tabs>
          <w:tab w:val="left" w:pos="1425"/>
        </w:tabs>
        <w:ind w:right="105"/>
        <w:jc w:val="both"/>
        <w:rPr>
          <w:rFonts w:hAnsi="宋体" w:eastAsia="宋体" w:cs="宋体"/>
          <w:b/>
          <w:color w:val="auto"/>
          <w:sz w:val="44"/>
          <w:highlight w:val="none"/>
        </w:rPr>
      </w:pPr>
    </w:p>
    <w:p>
      <w:pPr>
        <w:pStyle w:val="8"/>
        <w:ind w:right="105"/>
        <w:rPr>
          <w:rFonts w:ascii="宋体" w:hAnsi="宋体" w:eastAsia="宋体" w:cs="宋体"/>
          <w:color w:val="auto"/>
          <w:highlight w:val="none"/>
        </w:rPr>
      </w:pPr>
    </w:p>
    <w:p>
      <w:pPr>
        <w:ind w:right="105" w:firstLine="0" w:firstLineChars="0"/>
        <w:jc w:val="center"/>
        <w:rPr>
          <w:rFonts w:hAnsi="宋体" w:eastAsia="宋体" w:cs="宋体"/>
          <w:b/>
          <w:bCs/>
          <w:color w:val="auto"/>
          <w:kern w:val="44"/>
          <w:sz w:val="44"/>
          <w:szCs w:val="44"/>
          <w:highlight w:val="none"/>
        </w:rPr>
      </w:pPr>
    </w:p>
    <w:p>
      <w:pPr>
        <w:pStyle w:val="9"/>
        <w:ind w:right="105" w:firstLine="420"/>
        <w:rPr>
          <w:rFonts w:hint="eastAsia" w:hAnsi="宋体" w:eastAsia="宋体" w:cs="宋体"/>
          <w:b/>
          <w:bCs/>
          <w:color w:val="auto"/>
          <w:sz w:val="36"/>
          <w:szCs w:val="36"/>
          <w:highlight w:val="none"/>
          <w:lang w:val="zh-TW" w:eastAsia="zh-TW"/>
        </w:rPr>
      </w:pPr>
      <w:r>
        <w:rPr>
          <w:rFonts w:hint="eastAsia" w:hAnsi="宋体" w:eastAsia="宋体" w:cs="宋体"/>
          <w:b/>
          <w:bCs/>
          <w:color w:val="auto"/>
          <w:sz w:val="36"/>
          <w:szCs w:val="36"/>
          <w:highlight w:val="none"/>
          <w:lang w:val="zh-TW" w:eastAsia="zh-TW"/>
        </w:rPr>
        <w:t>2025—2027年东辰集团</w:t>
      </w:r>
      <w:r>
        <w:rPr>
          <w:rFonts w:hint="eastAsia" w:hAnsi="宋体" w:eastAsia="宋体" w:cs="宋体"/>
          <w:b/>
          <w:bCs/>
          <w:color w:val="auto"/>
          <w:sz w:val="36"/>
          <w:szCs w:val="36"/>
          <w:highlight w:val="none"/>
          <w:lang w:val="en-US" w:eastAsia="zh-CN"/>
        </w:rPr>
        <w:t>物业</w:t>
      </w:r>
      <w:r>
        <w:rPr>
          <w:rFonts w:hint="eastAsia" w:hAnsi="宋体" w:eastAsia="宋体" w:cs="宋体"/>
          <w:b/>
          <w:bCs/>
          <w:color w:val="auto"/>
          <w:sz w:val="36"/>
          <w:szCs w:val="36"/>
          <w:highlight w:val="none"/>
          <w:lang w:val="zh-TW" w:eastAsia="zh-TW"/>
        </w:rPr>
        <w:t>板块</w:t>
      </w:r>
      <w:r>
        <w:rPr>
          <w:rFonts w:hint="eastAsia" w:hAnsi="宋体" w:eastAsia="宋体" w:cs="宋体"/>
          <w:b/>
          <w:bCs/>
          <w:color w:val="auto"/>
          <w:sz w:val="36"/>
          <w:szCs w:val="36"/>
          <w:highlight w:val="none"/>
          <w:lang w:val="zh-TW" w:eastAsia="zh-CN"/>
        </w:rPr>
        <w:t>保洁、</w:t>
      </w:r>
      <w:r>
        <w:rPr>
          <w:rFonts w:hint="eastAsia" w:hAnsi="宋体" w:eastAsia="宋体" w:cs="宋体"/>
          <w:b/>
          <w:bCs/>
          <w:color w:val="auto"/>
          <w:sz w:val="36"/>
          <w:szCs w:val="36"/>
          <w:highlight w:val="none"/>
          <w:lang w:val="en-US" w:eastAsia="zh-CN"/>
        </w:rPr>
        <w:t>绿化</w:t>
      </w:r>
      <w:r>
        <w:rPr>
          <w:rFonts w:hint="eastAsia" w:hAnsi="宋体" w:eastAsia="宋体" w:cs="宋体"/>
          <w:b/>
          <w:bCs/>
          <w:color w:val="auto"/>
          <w:sz w:val="36"/>
          <w:szCs w:val="36"/>
          <w:highlight w:val="none"/>
          <w:lang w:val="zh-TW" w:eastAsia="zh-TW"/>
        </w:rPr>
        <w:t>服务采购</w:t>
      </w:r>
    </w:p>
    <w:p>
      <w:pPr>
        <w:pStyle w:val="9"/>
        <w:ind w:right="105" w:firstLine="3614" w:firstLineChars="1000"/>
        <w:rPr>
          <w:rFonts w:hint="eastAsia" w:hAnsi="宋体" w:eastAsia="宋体" w:cs="宋体"/>
          <w:b/>
          <w:bCs/>
          <w:color w:val="auto"/>
          <w:sz w:val="36"/>
          <w:szCs w:val="36"/>
          <w:highlight w:val="none"/>
          <w:lang w:eastAsia="zh-CN"/>
        </w:rPr>
      </w:pPr>
      <w:r>
        <w:rPr>
          <w:rFonts w:hint="eastAsia" w:hAnsi="宋体" w:eastAsia="宋体" w:cs="宋体"/>
          <w:b/>
          <w:bCs/>
          <w:color w:val="auto"/>
          <w:sz w:val="36"/>
          <w:szCs w:val="36"/>
          <w:highlight w:val="none"/>
          <w:lang w:val="zh-TW" w:eastAsia="zh-CN"/>
        </w:rPr>
        <w:t>（</w:t>
      </w:r>
      <w:r>
        <w:rPr>
          <w:rFonts w:hint="eastAsia" w:hAnsi="宋体" w:eastAsia="宋体" w:cs="宋体"/>
          <w:b/>
          <w:bCs/>
          <w:color w:val="auto"/>
          <w:sz w:val="36"/>
          <w:szCs w:val="36"/>
          <w:highlight w:val="none"/>
          <w:lang w:val="en-US" w:eastAsia="zh-CN"/>
        </w:rPr>
        <w:t>三标段</w:t>
      </w:r>
      <w:r>
        <w:rPr>
          <w:rFonts w:hint="eastAsia" w:hAnsi="宋体" w:eastAsia="宋体" w:cs="宋体"/>
          <w:b/>
          <w:bCs/>
          <w:color w:val="auto"/>
          <w:sz w:val="36"/>
          <w:szCs w:val="36"/>
          <w:highlight w:val="none"/>
          <w:lang w:val="zh-TW" w:eastAsia="zh-CN"/>
        </w:rPr>
        <w:t>）</w:t>
      </w:r>
    </w:p>
    <w:p>
      <w:pPr>
        <w:tabs>
          <w:tab w:val="left" w:pos="1425"/>
        </w:tabs>
        <w:ind w:right="105" w:firstLine="1928"/>
        <w:rPr>
          <w:rFonts w:hAnsi="宋体" w:eastAsia="宋体" w:cs="宋体"/>
          <w:b/>
          <w:color w:val="auto"/>
          <w:sz w:val="96"/>
          <w:szCs w:val="96"/>
          <w:highlight w:val="none"/>
        </w:rPr>
      </w:pPr>
      <w:r>
        <w:rPr>
          <w:rFonts w:hint="eastAsia" w:hAnsi="宋体" w:eastAsia="宋体" w:cs="宋体"/>
          <w:b/>
          <w:color w:val="auto"/>
          <w:sz w:val="96"/>
          <w:szCs w:val="96"/>
          <w:highlight w:val="none"/>
        </w:rPr>
        <w:t>投 标 文 件</w:t>
      </w:r>
    </w:p>
    <w:p>
      <w:pPr>
        <w:tabs>
          <w:tab w:val="left" w:pos="1425"/>
        </w:tabs>
        <w:ind w:right="105" w:firstLine="0" w:firstLineChars="0"/>
        <w:jc w:val="center"/>
        <w:rPr>
          <w:rFonts w:hAnsi="宋体" w:eastAsia="宋体" w:cs="宋体"/>
          <w:color w:val="auto"/>
          <w:sz w:val="28"/>
          <w:highlight w:val="none"/>
        </w:rPr>
      </w:pPr>
      <w:r>
        <w:rPr>
          <w:rFonts w:hint="eastAsia" w:hAnsi="宋体" w:eastAsia="宋体" w:cs="宋体"/>
          <w:color w:val="auto"/>
          <w:sz w:val="28"/>
          <w:highlight w:val="none"/>
        </w:rPr>
        <w:t>商务技术部分（正本）</w:t>
      </w:r>
    </w:p>
    <w:p>
      <w:pPr>
        <w:tabs>
          <w:tab w:val="left" w:pos="1425"/>
        </w:tabs>
        <w:ind w:right="105" w:firstLine="560"/>
        <w:jc w:val="center"/>
        <w:rPr>
          <w:rFonts w:hAnsi="宋体" w:eastAsia="宋体" w:cs="宋体"/>
          <w:color w:val="auto"/>
          <w:sz w:val="28"/>
          <w:highlight w:val="none"/>
        </w:rPr>
      </w:pPr>
    </w:p>
    <w:p>
      <w:pPr>
        <w:tabs>
          <w:tab w:val="left" w:pos="1425"/>
        </w:tabs>
        <w:ind w:right="105" w:firstLine="560"/>
        <w:rPr>
          <w:rFonts w:hAnsi="宋体" w:eastAsia="宋体" w:cs="宋体"/>
          <w:color w:val="auto"/>
          <w:sz w:val="28"/>
          <w:highlight w:val="none"/>
        </w:rPr>
      </w:pPr>
    </w:p>
    <w:p>
      <w:pPr>
        <w:tabs>
          <w:tab w:val="left" w:pos="1425"/>
        </w:tabs>
        <w:ind w:right="105" w:firstLine="560"/>
        <w:rPr>
          <w:rFonts w:hAnsi="宋体" w:eastAsia="宋体" w:cs="宋体"/>
          <w:color w:val="auto"/>
          <w:sz w:val="28"/>
          <w:highlight w:val="none"/>
        </w:rPr>
      </w:pPr>
    </w:p>
    <w:p>
      <w:pPr>
        <w:pStyle w:val="29"/>
        <w:ind w:right="105" w:firstLine="280"/>
        <w:rPr>
          <w:rFonts w:ascii="宋体" w:hAnsi="宋体" w:eastAsia="宋体" w:cs="宋体"/>
          <w:color w:val="auto"/>
          <w:sz w:val="28"/>
          <w:highlight w:val="none"/>
        </w:rPr>
      </w:pPr>
    </w:p>
    <w:p>
      <w:pPr>
        <w:pStyle w:val="29"/>
        <w:ind w:right="105" w:firstLine="280"/>
        <w:rPr>
          <w:rFonts w:ascii="宋体" w:hAnsi="宋体" w:eastAsia="宋体" w:cs="宋体"/>
          <w:color w:val="auto"/>
          <w:sz w:val="28"/>
          <w:highlight w:val="none"/>
        </w:rPr>
      </w:pPr>
    </w:p>
    <w:p>
      <w:pPr>
        <w:tabs>
          <w:tab w:val="left" w:pos="1425"/>
        </w:tabs>
        <w:spacing w:line="480" w:lineRule="auto"/>
        <w:ind w:right="105" w:firstLine="560"/>
        <w:rPr>
          <w:rFonts w:hint="eastAsia" w:hAnsi="宋体" w:eastAsia="宋体" w:cs="宋体"/>
          <w:color w:val="auto"/>
          <w:sz w:val="28"/>
          <w:szCs w:val="28"/>
          <w:highlight w:val="none"/>
          <w:lang w:val="zh-TW" w:eastAsia="zh-TW"/>
        </w:rPr>
      </w:pPr>
      <w:r>
        <w:rPr>
          <w:rFonts w:hint="eastAsia" w:ascii="宋体" w:hAnsi="宋体" w:eastAsia="宋体" w:cs="宋体"/>
          <w:color w:val="auto"/>
          <w:sz w:val="28"/>
          <w:highlight w:val="none"/>
        </w:rPr>
        <w:t>项目名称</w:t>
      </w:r>
      <w:r>
        <w:rPr>
          <w:rFonts w:hint="eastAsia" w:hAnsi="宋体" w:eastAsia="宋体" w:cs="宋体"/>
          <w:color w:val="auto"/>
          <w:sz w:val="28"/>
          <w:highlight w:val="none"/>
        </w:rPr>
        <w:t>：</w:t>
      </w:r>
      <w:r>
        <w:rPr>
          <w:rFonts w:hint="eastAsia" w:hAnsi="宋体" w:eastAsia="宋体" w:cs="宋体"/>
          <w:color w:val="auto"/>
          <w:sz w:val="28"/>
          <w:szCs w:val="28"/>
          <w:highlight w:val="none"/>
          <w:lang w:val="zh-TW" w:eastAsia="zh-TW"/>
        </w:rPr>
        <w:t>2025—2027年东辰集团</w:t>
      </w:r>
      <w:r>
        <w:rPr>
          <w:rFonts w:hint="eastAsia" w:hAnsi="宋体" w:eastAsia="宋体" w:cs="宋体"/>
          <w:color w:val="auto"/>
          <w:sz w:val="28"/>
          <w:szCs w:val="28"/>
          <w:highlight w:val="none"/>
          <w:lang w:val="en-US" w:eastAsia="zh-CN"/>
        </w:rPr>
        <w:t>物业</w:t>
      </w:r>
      <w:r>
        <w:rPr>
          <w:rFonts w:hint="eastAsia" w:hAnsi="宋体" w:eastAsia="宋体" w:cs="宋体"/>
          <w:color w:val="auto"/>
          <w:sz w:val="28"/>
          <w:szCs w:val="28"/>
          <w:highlight w:val="none"/>
          <w:lang w:val="zh-TW" w:eastAsia="zh-TW"/>
        </w:rPr>
        <w:t>板块</w:t>
      </w:r>
      <w:r>
        <w:rPr>
          <w:rFonts w:hint="eastAsia" w:hAnsi="宋体" w:eastAsia="宋体" w:cs="宋体"/>
          <w:color w:val="auto"/>
          <w:sz w:val="28"/>
          <w:szCs w:val="28"/>
          <w:highlight w:val="none"/>
          <w:lang w:val="zh-TW" w:eastAsia="zh-CN"/>
        </w:rPr>
        <w:t>保洁、</w:t>
      </w:r>
      <w:r>
        <w:rPr>
          <w:rFonts w:hint="eastAsia" w:hAnsi="宋体" w:eastAsia="宋体" w:cs="宋体"/>
          <w:color w:val="auto"/>
          <w:sz w:val="28"/>
          <w:szCs w:val="28"/>
          <w:highlight w:val="none"/>
          <w:lang w:val="en-US" w:eastAsia="zh-CN"/>
        </w:rPr>
        <w:t>绿化</w:t>
      </w:r>
      <w:r>
        <w:rPr>
          <w:rFonts w:hint="eastAsia" w:hAnsi="宋体" w:eastAsia="宋体" w:cs="宋体"/>
          <w:color w:val="auto"/>
          <w:sz w:val="28"/>
          <w:szCs w:val="28"/>
          <w:highlight w:val="none"/>
          <w:lang w:val="zh-TW" w:eastAsia="zh-TW"/>
        </w:rPr>
        <w:t>服务采购（</w:t>
      </w:r>
      <w:r>
        <w:rPr>
          <w:rFonts w:hint="eastAsia" w:hAnsi="宋体" w:eastAsia="宋体" w:cs="宋体"/>
          <w:color w:val="auto"/>
          <w:sz w:val="28"/>
          <w:szCs w:val="28"/>
          <w:highlight w:val="none"/>
          <w:lang w:val="zh-TW" w:eastAsia="zh-CN"/>
        </w:rPr>
        <w:t>三标段</w:t>
      </w:r>
      <w:r>
        <w:rPr>
          <w:rFonts w:hint="eastAsia" w:hAnsi="宋体" w:eastAsia="宋体" w:cs="宋体"/>
          <w:color w:val="auto"/>
          <w:sz w:val="28"/>
          <w:szCs w:val="28"/>
          <w:highlight w:val="none"/>
          <w:lang w:val="zh-TW" w:eastAsia="zh-TW"/>
        </w:rPr>
        <w:t>）</w:t>
      </w:r>
    </w:p>
    <w:p>
      <w:pPr>
        <w:tabs>
          <w:tab w:val="left" w:pos="1425"/>
        </w:tabs>
        <w:spacing w:line="480" w:lineRule="auto"/>
        <w:ind w:right="105" w:firstLine="560"/>
        <w:rPr>
          <w:rFonts w:hAnsi="宋体" w:eastAsia="宋体" w:cs="宋体"/>
          <w:color w:val="auto"/>
          <w:sz w:val="28"/>
          <w:highlight w:val="none"/>
        </w:rPr>
      </w:pPr>
      <w:r>
        <w:rPr>
          <w:rFonts w:hint="eastAsia" w:hAnsi="宋体" w:eastAsia="宋体" w:cs="宋体"/>
          <w:color w:val="auto"/>
          <w:sz w:val="28"/>
          <w:highlight w:val="none"/>
        </w:rPr>
        <w:t>投标文件内容：商务技术部分</w:t>
      </w:r>
    </w:p>
    <w:p>
      <w:pPr>
        <w:tabs>
          <w:tab w:val="left" w:pos="1425"/>
        </w:tabs>
        <w:spacing w:line="480" w:lineRule="auto"/>
        <w:ind w:right="105" w:firstLine="560"/>
        <w:rPr>
          <w:rFonts w:hAnsi="宋体" w:eastAsia="宋体" w:cs="宋体"/>
          <w:color w:val="auto"/>
          <w:sz w:val="28"/>
          <w:highlight w:val="none"/>
        </w:rPr>
      </w:pPr>
      <w:r>
        <w:rPr>
          <w:rFonts w:hint="eastAsia" w:hAnsi="宋体" w:eastAsia="宋体" w:cs="宋体"/>
          <w:color w:val="auto"/>
          <w:sz w:val="28"/>
          <w:highlight w:val="none"/>
        </w:rPr>
        <w:t>投标人（盖章）：</w:t>
      </w:r>
    </w:p>
    <w:p>
      <w:pPr>
        <w:tabs>
          <w:tab w:val="left" w:pos="1425"/>
        </w:tabs>
        <w:spacing w:line="480" w:lineRule="auto"/>
        <w:ind w:right="105" w:firstLine="560"/>
        <w:rPr>
          <w:rFonts w:hAnsi="宋体" w:eastAsia="宋体" w:cs="宋体"/>
          <w:color w:val="auto"/>
          <w:sz w:val="28"/>
          <w:highlight w:val="none"/>
        </w:rPr>
      </w:pPr>
      <w:r>
        <w:rPr>
          <w:rFonts w:hint="eastAsia" w:hAnsi="宋体" w:eastAsia="宋体" w:cs="宋体"/>
          <w:color w:val="auto"/>
          <w:sz w:val="28"/>
          <w:highlight w:val="none"/>
        </w:rPr>
        <w:t>法定代表人或委托代理人（签字或盖章）</w:t>
      </w:r>
    </w:p>
    <w:p>
      <w:pPr>
        <w:ind w:right="105" w:firstLine="0" w:firstLineChars="0"/>
        <w:outlineLvl w:val="2"/>
        <w:rPr>
          <w:rFonts w:hint="eastAsia" w:hAnsi="宋体" w:eastAsia="宋体" w:cs="宋体"/>
          <w:bCs/>
          <w:color w:val="auto"/>
          <w:sz w:val="28"/>
          <w:szCs w:val="28"/>
          <w:highlight w:val="none"/>
        </w:rPr>
      </w:pPr>
    </w:p>
    <w:p>
      <w:pPr>
        <w:pStyle w:val="29"/>
        <w:rPr>
          <w:rFonts w:hint="eastAsia" w:hAnsi="宋体" w:eastAsia="宋体" w:cs="宋体"/>
          <w:bCs/>
          <w:color w:val="auto"/>
          <w:sz w:val="28"/>
          <w:szCs w:val="28"/>
          <w:highlight w:val="none"/>
        </w:rPr>
      </w:pPr>
    </w:p>
    <w:p>
      <w:pPr>
        <w:pStyle w:val="29"/>
        <w:rPr>
          <w:rFonts w:hint="eastAsia" w:hAnsi="宋体" w:eastAsia="宋体" w:cs="宋体"/>
          <w:bCs/>
          <w:color w:val="auto"/>
          <w:sz w:val="28"/>
          <w:szCs w:val="28"/>
          <w:highlight w:val="none"/>
        </w:rPr>
      </w:pPr>
    </w:p>
    <w:p>
      <w:pPr>
        <w:pStyle w:val="29"/>
        <w:rPr>
          <w:rFonts w:hint="eastAsia" w:hAnsi="宋体" w:eastAsia="宋体" w:cs="宋体"/>
          <w:bCs/>
          <w:color w:val="auto"/>
          <w:sz w:val="28"/>
          <w:szCs w:val="28"/>
          <w:highlight w:val="none"/>
        </w:rPr>
      </w:pPr>
    </w:p>
    <w:p>
      <w:pPr>
        <w:pStyle w:val="29"/>
        <w:rPr>
          <w:rFonts w:hint="eastAsia" w:hAnsi="宋体" w:eastAsia="宋体" w:cs="宋体"/>
          <w:bCs/>
          <w:color w:val="auto"/>
          <w:sz w:val="28"/>
          <w:szCs w:val="28"/>
          <w:highlight w:val="none"/>
        </w:rPr>
      </w:pPr>
    </w:p>
    <w:p>
      <w:pPr>
        <w:ind w:right="105" w:firstLine="0" w:firstLineChars="0"/>
        <w:outlineLvl w:val="2"/>
        <w:rPr>
          <w:rFonts w:hAnsi="宋体" w:eastAsia="宋体" w:cs="宋体"/>
          <w:color w:val="auto"/>
          <w:spacing w:val="5"/>
          <w:sz w:val="26"/>
          <w:szCs w:val="26"/>
          <w:highlight w:val="none"/>
        </w:rPr>
      </w:pPr>
      <w:bookmarkStart w:id="23" w:name="_Toc278"/>
      <w:r>
        <w:rPr>
          <w:rFonts w:hint="eastAsia" w:hAnsi="宋体" w:eastAsia="宋体" w:cs="宋体"/>
          <w:bCs/>
          <w:color w:val="auto"/>
          <w:sz w:val="28"/>
          <w:szCs w:val="28"/>
          <w:highlight w:val="none"/>
        </w:rPr>
        <w:t>附件2：</w:t>
      </w:r>
      <w:bookmarkEnd w:id="23"/>
    </w:p>
    <w:p>
      <w:pPr>
        <w:ind w:right="105" w:firstLine="0" w:firstLineChars="0"/>
        <w:jc w:val="center"/>
        <w:rPr>
          <w:rFonts w:hAnsi="宋体" w:eastAsia="宋体" w:cs="宋体"/>
          <w:b/>
          <w:color w:val="auto"/>
          <w:sz w:val="32"/>
          <w:szCs w:val="32"/>
          <w:highlight w:val="none"/>
        </w:rPr>
      </w:pPr>
      <w:r>
        <w:rPr>
          <w:rFonts w:hint="eastAsia" w:hAnsi="宋体" w:eastAsia="宋体" w:cs="宋体"/>
          <w:b/>
          <w:color w:val="auto"/>
          <w:sz w:val="32"/>
          <w:szCs w:val="32"/>
          <w:highlight w:val="none"/>
        </w:rPr>
        <w:t>投标报价表</w:t>
      </w:r>
    </w:p>
    <w:p>
      <w:pPr>
        <w:pStyle w:val="15"/>
        <w:spacing w:line="480" w:lineRule="exact"/>
        <w:ind w:right="105" w:firstLine="0" w:firstLineChars="0"/>
        <w:rPr>
          <w:rFonts w:ascii="宋体" w:hAnsi="宋体" w:eastAsia="宋体" w:cs="宋体"/>
          <w:bCs/>
          <w:snapToGrid w:val="0"/>
          <w:color w:val="auto"/>
          <w:sz w:val="24"/>
          <w:szCs w:val="24"/>
          <w:highlight w:val="none"/>
        </w:rPr>
      </w:pPr>
      <w:r>
        <w:rPr>
          <w:rFonts w:hint="eastAsia" w:ascii="宋体" w:hAnsi="宋体" w:eastAsia="宋体" w:cs="宋体"/>
          <w:bCs/>
          <w:snapToGrid w:val="0"/>
          <w:color w:val="auto"/>
          <w:sz w:val="24"/>
          <w:szCs w:val="24"/>
          <w:highlight w:val="none"/>
        </w:rPr>
        <w:t>项目名称：</w:t>
      </w:r>
      <w:r>
        <w:rPr>
          <w:rFonts w:hint="eastAsia" w:hAnsi="宋体" w:eastAsia="宋体" w:cs="宋体"/>
          <w:color w:val="auto"/>
          <w:sz w:val="24"/>
          <w:szCs w:val="24"/>
          <w:highlight w:val="none"/>
          <w:lang w:val="zh-TW" w:eastAsia="zh-TW"/>
        </w:rPr>
        <w:t>2025—2027年东辰集团</w:t>
      </w:r>
      <w:r>
        <w:rPr>
          <w:rFonts w:hint="eastAsia" w:hAnsi="宋体" w:eastAsia="宋体" w:cs="宋体"/>
          <w:color w:val="auto"/>
          <w:sz w:val="24"/>
          <w:szCs w:val="24"/>
          <w:highlight w:val="none"/>
          <w:lang w:val="en-US" w:eastAsia="zh-CN"/>
        </w:rPr>
        <w:t>物业</w:t>
      </w:r>
      <w:r>
        <w:rPr>
          <w:rFonts w:hint="eastAsia" w:hAnsi="宋体" w:eastAsia="宋体" w:cs="宋体"/>
          <w:color w:val="auto"/>
          <w:sz w:val="24"/>
          <w:szCs w:val="24"/>
          <w:highlight w:val="none"/>
          <w:lang w:val="zh-TW" w:eastAsia="zh-TW"/>
        </w:rPr>
        <w:t>板块</w:t>
      </w:r>
      <w:r>
        <w:rPr>
          <w:rFonts w:hint="eastAsia" w:hAnsi="宋体" w:eastAsia="宋体" w:cs="宋体"/>
          <w:color w:val="auto"/>
          <w:sz w:val="24"/>
          <w:szCs w:val="24"/>
          <w:highlight w:val="none"/>
          <w:lang w:val="zh-TW" w:eastAsia="zh-CN"/>
        </w:rPr>
        <w:t>保洁、</w:t>
      </w:r>
      <w:r>
        <w:rPr>
          <w:rFonts w:hint="eastAsia" w:hAnsi="宋体" w:eastAsia="宋体" w:cs="宋体"/>
          <w:color w:val="auto"/>
          <w:sz w:val="24"/>
          <w:szCs w:val="24"/>
          <w:highlight w:val="none"/>
          <w:lang w:val="en-US" w:eastAsia="zh-CN"/>
        </w:rPr>
        <w:t>绿化</w:t>
      </w:r>
      <w:r>
        <w:rPr>
          <w:rFonts w:hint="eastAsia" w:hAnsi="宋体" w:eastAsia="宋体" w:cs="宋体"/>
          <w:color w:val="auto"/>
          <w:sz w:val="24"/>
          <w:szCs w:val="24"/>
          <w:highlight w:val="none"/>
          <w:lang w:val="zh-TW" w:eastAsia="zh-TW"/>
        </w:rPr>
        <w:t>服务采购</w:t>
      </w:r>
      <w:r>
        <w:rPr>
          <w:rFonts w:hint="eastAsia" w:hAnsi="宋体" w:eastAsia="宋体" w:cs="宋体"/>
          <w:color w:val="auto"/>
          <w:sz w:val="28"/>
          <w:szCs w:val="28"/>
          <w:highlight w:val="none"/>
          <w:lang w:val="zh-TW" w:eastAsia="zh-TW"/>
        </w:rPr>
        <w:t>（</w:t>
      </w:r>
      <w:r>
        <w:rPr>
          <w:rFonts w:hint="eastAsia" w:hAnsi="宋体" w:eastAsia="宋体" w:cs="宋体"/>
          <w:color w:val="auto"/>
          <w:sz w:val="28"/>
          <w:szCs w:val="28"/>
          <w:highlight w:val="none"/>
          <w:lang w:val="zh-TW" w:eastAsia="zh-CN"/>
        </w:rPr>
        <w:t>三标段</w:t>
      </w:r>
      <w:r>
        <w:rPr>
          <w:rFonts w:hint="eastAsia" w:hAnsi="宋体" w:eastAsia="宋体" w:cs="宋体"/>
          <w:color w:val="auto"/>
          <w:sz w:val="28"/>
          <w:szCs w:val="28"/>
          <w:highlight w:val="none"/>
          <w:lang w:val="zh-TW" w:eastAsia="zh-TW"/>
        </w:rPr>
        <w:t>）</w:t>
      </w:r>
    </w:p>
    <w:tbl>
      <w:tblPr>
        <w:tblStyle w:val="31"/>
        <w:tblW w:w="91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7"/>
        <w:gridCol w:w="2897"/>
        <w:gridCol w:w="763"/>
        <w:gridCol w:w="729"/>
        <w:gridCol w:w="840"/>
        <w:gridCol w:w="1905"/>
        <w:gridCol w:w="1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jc w:val="center"/>
        </w:trPr>
        <w:tc>
          <w:tcPr>
            <w:tcW w:w="467" w:type="dxa"/>
            <w:noWrap/>
            <w:vAlign w:val="center"/>
          </w:tcPr>
          <w:p>
            <w:pPr>
              <w:widowControl/>
              <w:spacing w:line="360" w:lineRule="atLeast"/>
              <w:ind w:right="105" w:firstLine="0" w:firstLineChars="0"/>
              <w:jc w:val="center"/>
              <w:rPr>
                <w:rFonts w:hAnsi="宋体" w:eastAsia="宋体" w:cs="宋体"/>
                <w:color w:val="auto"/>
                <w:sz w:val="24"/>
                <w:highlight w:val="none"/>
              </w:rPr>
            </w:pPr>
            <w:r>
              <w:rPr>
                <w:rFonts w:hint="eastAsia" w:hAnsi="宋体" w:eastAsia="宋体" w:cs="宋体"/>
                <w:color w:val="auto"/>
                <w:sz w:val="24"/>
                <w:highlight w:val="none"/>
              </w:rPr>
              <w:t>序号</w:t>
            </w:r>
          </w:p>
        </w:tc>
        <w:tc>
          <w:tcPr>
            <w:tcW w:w="2897" w:type="dxa"/>
            <w:noWrap/>
            <w:vAlign w:val="center"/>
          </w:tcPr>
          <w:p>
            <w:pPr>
              <w:widowControl/>
              <w:spacing w:line="360" w:lineRule="atLeast"/>
              <w:ind w:right="105" w:firstLine="480"/>
              <w:jc w:val="center"/>
              <w:rPr>
                <w:rFonts w:hAnsi="宋体" w:eastAsia="宋体" w:cs="宋体"/>
                <w:color w:val="auto"/>
                <w:sz w:val="24"/>
                <w:highlight w:val="none"/>
              </w:rPr>
            </w:pPr>
            <w:r>
              <w:rPr>
                <w:rFonts w:hint="eastAsia" w:hAnsi="宋体" w:eastAsia="宋体" w:cs="宋体"/>
                <w:color w:val="auto"/>
                <w:sz w:val="24"/>
                <w:highlight w:val="none"/>
                <w:lang w:val="en-US" w:eastAsia="zh-CN"/>
              </w:rPr>
              <w:t>项目</w:t>
            </w:r>
            <w:r>
              <w:rPr>
                <w:rFonts w:hint="eastAsia" w:hAnsi="宋体" w:eastAsia="宋体" w:cs="宋体"/>
                <w:color w:val="auto"/>
                <w:sz w:val="24"/>
                <w:highlight w:val="none"/>
              </w:rPr>
              <w:t>品名</w:t>
            </w:r>
          </w:p>
        </w:tc>
        <w:tc>
          <w:tcPr>
            <w:tcW w:w="763" w:type="dxa"/>
            <w:noWrap/>
            <w:vAlign w:val="center"/>
          </w:tcPr>
          <w:p>
            <w:pPr>
              <w:widowControl/>
              <w:spacing w:line="360" w:lineRule="atLeast"/>
              <w:ind w:right="105" w:firstLine="0" w:firstLineChars="0"/>
              <w:jc w:val="center"/>
              <w:rPr>
                <w:rFonts w:hAnsi="宋体" w:eastAsia="宋体" w:cs="宋体"/>
                <w:color w:val="auto"/>
                <w:sz w:val="24"/>
                <w:highlight w:val="none"/>
              </w:rPr>
            </w:pPr>
            <w:r>
              <w:rPr>
                <w:rFonts w:hint="eastAsia" w:hAnsi="宋体" w:eastAsia="宋体" w:cs="宋体"/>
                <w:color w:val="auto"/>
                <w:sz w:val="24"/>
                <w:highlight w:val="none"/>
              </w:rPr>
              <w:t>数量</w:t>
            </w:r>
          </w:p>
        </w:tc>
        <w:tc>
          <w:tcPr>
            <w:tcW w:w="729" w:type="dxa"/>
            <w:noWrap/>
            <w:vAlign w:val="center"/>
          </w:tcPr>
          <w:p>
            <w:pPr>
              <w:widowControl/>
              <w:spacing w:line="360" w:lineRule="atLeast"/>
              <w:ind w:right="105" w:firstLine="0" w:firstLineChars="0"/>
              <w:jc w:val="center"/>
              <w:rPr>
                <w:rFonts w:hAnsi="宋体" w:eastAsia="宋体" w:cs="宋体"/>
                <w:color w:val="auto"/>
                <w:sz w:val="24"/>
                <w:highlight w:val="none"/>
              </w:rPr>
            </w:pPr>
            <w:r>
              <w:rPr>
                <w:rFonts w:hint="eastAsia" w:hAnsi="宋体" w:eastAsia="宋体" w:cs="宋体"/>
                <w:color w:val="auto"/>
                <w:sz w:val="24"/>
                <w:highlight w:val="none"/>
              </w:rPr>
              <w:t>单位</w:t>
            </w:r>
          </w:p>
        </w:tc>
        <w:tc>
          <w:tcPr>
            <w:tcW w:w="840" w:type="dxa"/>
            <w:noWrap/>
            <w:vAlign w:val="center"/>
          </w:tcPr>
          <w:p>
            <w:pPr>
              <w:widowControl/>
              <w:spacing w:line="360" w:lineRule="atLeast"/>
              <w:ind w:right="105" w:firstLine="0" w:firstLineChars="0"/>
              <w:jc w:val="center"/>
              <w:rPr>
                <w:rFonts w:hAnsi="宋体" w:eastAsia="宋体" w:cs="宋体"/>
                <w:color w:val="auto"/>
                <w:sz w:val="24"/>
                <w:highlight w:val="none"/>
              </w:rPr>
            </w:pPr>
            <w:r>
              <w:rPr>
                <w:rFonts w:hint="eastAsia" w:hAnsi="宋体" w:eastAsia="宋体" w:cs="宋体"/>
                <w:color w:val="auto"/>
                <w:sz w:val="24"/>
                <w:highlight w:val="none"/>
              </w:rPr>
              <w:t>税率</w:t>
            </w:r>
          </w:p>
        </w:tc>
        <w:tc>
          <w:tcPr>
            <w:tcW w:w="1905" w:type="dxa"/>
            <w:noWrap/>
            <w:vAlign w:val="center"/>
          </w:tcPr>
          <w:p>
            <w:pPr>
              <w:widowControl/>
              <w:spacing w:line="360" w:lineRule="atLeast"/>
              <w:ind w:right="105" w:firstLine="0" w:firstLineChars="0"/>
              <w:jc w:val="center"/>
              <w:rPr>
                <w:rFonts w:hAnsi="宋体" w:eastAsia="宋体" w:cs="宋体"/>
                <w:color w:val="auto"/>
                <w:sz w:val="24"/>
                <w:highlight w:val="none"/>
              </w:rPr>
            </w:pPr>
            <w:r>
              <w:rPr>
                <w:rFonts w:hint="eastAsia" w:hAnsi="宋体" w:eastAsia="宋体" w:cs="宋体"/>
                <w:color w:val="auto"/>
                <w:sz w:val="24"/>
                <w:highlight w:val="none"/>
              </w:rPr>
              <w:t>投标价</w:t>
            </w:r>
            <w:r>
              <w:rPr>
                <w:rFonts w:hint="eastAsia" w:hAnsi="宋体" w:eastAsia="宋体" w:cs="宋体"/>
                <w:color w:val="auto"/>
                <w:sz w:val="24"/>
                <w:highlight w:val="none"/>
                <w:lang w:val="en-US" w:eastAsia="zh-CN"/>
              </w:rPr>
              <w:t xml:space="preserve">     </w:t>
            </w:r>
            <w:r>
              <w:rPr>
                <w:rFonts w:hint="eastAsia" w:hAnsi="宋体" w:eastAsia="宋体" w:cs="宋体"/>
                <w:color w:val="auto"/>
                <w:sz w:val="24"/>
                <w:highlight w:val="none"/>
                <w:lang w:eastAsia="zh-CN"/>
              </w:rPr>
              <w:t>（</w:t>
            </w:r>
            <w:r>
              <w:rPr>
                <w:rFonts w:hint="eastAsia" w:hAnsi="宋体" w:eastAsia="宋体" w:cs="宋体"/>
                <w:color w:val="auto"/>
                <w:sz w:val="24"/>
                <w:highlight w:val="none"/>
              </w:rPr>
              <w:t>万</w:t>
            </w:r>
            <w:r>
              <w:rPr>
                <w:rFonts w:hint="eastAsia" w:hAnsi="宋体" w:eastAsia="宋体" w:cs="宋体"/>
                <w:color w:val="auto"/>
                <w:sz w:val="24"/>
                <w:highlight w:val="none"/>
                <w:lang w:eastAsia="zh-CN"/>
              </w:rPr>
              <w:t>元；</w:t>
            </w:r>
            <w:r>
              <w:rPr>
                <w:rFonts w:hint="eastAsia" w:hAnsi="宋体" w:eastAsia="宋体" w:cs="宋体"/>
                <w:color w:val="auto"/>
                <w:sz w:val="24"/>
                <w:highlight w:val="none"/>
              </w:rPr>
              <w:t>含税）</w:t>
            </w:r>
          </w:p>
        </w:tc>
        <w:tc>
          <w:tcPr>
            <w:tcW w:w="1595" w:type="dxa"/>
            <w:noWrap/>
            <w:vAlign w:val="center"/>
          </w:tcPr>
          <w:p>
            <w:pPr>
              <w:widowControl/>
              <w:spacing w:line="360" w:lineRule="atLeast"/>
              <w:ind w:left="-14" w:leftChars="-4" w:right="105" w:firstLine="84" w:firstLineChars="35"/>
              <w:jc w:val="center"/>
              <w:rPr>
                <w:rFonts w:hAnsi="宋体" w:eastAsia="宋体" w:cs="宋体"/>
                <w:color w:val="auto"/>
                <w:sz w:val="24"/>
                <w:highlight w:val="none"/>
              </w:rPr>
            </w:pPr>
            <w:r>
              <w:rPr>
                <w:rFonts w:hint="eastAsia" w:hAnsi="宋体" w:eastAsia="宋体" w:cs="宋体"/>
                <w:color w:val="auto"/>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jc w:val="center"/>
        </w:trPr>
        <w:tc>
          <w:tcPr>
            <w:tcW w:w="467" w:type="dxa"/>
            <w:noWrap/>
            <w:vAlign w:val="center"/>
          </w:tcPr>
          <w:p>
            <w:pPr>
              <w:widowControl/>
              <w:spacing w:line="360" w:lineRule="atLeast"/>
              <w:ind w:right="105" w:rightChars="0" w:firstLine="0" w:firstLineChars="0"/>
              <w:jc w:val="center"/>
              <w:rPr>
                <w:rFonts w:hint="eastAsia" w:hAnsi="宋体" w:eastAsia="宋体" w:cs="宋体"/>
                <w:color w:val="auto"/>
                <w:sz w:val="24"/>
                <w:highlight w:val="none"/>
                <w:lang w:val="en-US" w:eastAsia="zh-CN"/>
              </w:rPr>
            </w:pPr>
            <w:r>
              <w:rPr>
                <w:rFonts w:hint="eastAsia" w:hAnsi="宋体" w:eastAsia="宋体" w:cs="宋体"/>
                <w:color w:val="auto"/>
                <w:sz w:val="24"/>
                <w:highlight w:val="none"/>
                <w:lang w:val="en-US" w:eastAsia="zh-CN"/>
              </w:rPr>
              <w:t>1</w:t>
            </w:r>
          </w:p>
        </w:tc>
        <w:tc>
          <w:tcPr>
            <w:tcW w:w="2897" w:type="dxa"/>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color w:val="auto"/>
                <w:kern w:val="2"/>
                <w:sz w:val="24"/>
                <w:szCs w:val="24"/>
                <w:highlight w:val="none"/>
                <w:lang w:val="zh-CN" w:eastAsia="zh-CN" w:bidi="ar-SA"/>
              </w:rPr>
            </w:pPr>
            <w:r>
              <w:rPr>
                <w:rFonts w:hint="eastAsia" w:hAnsi="宋体" w:eastAsia="宋体" w:cs="宋体"/>
                <w:i w:val="0"/>
                <w:iCs w:val="0"/>
                <w:color w:val="auto"/>
                <w:kern w:val="0"/>
                <w:sz w:val="24"/>
                <w:szCs w:val="24"/>
                <w:highlight w:val="none"/>
                <w:u w:val="none"/>
                <w:lang w:val="en-US" w:eastAsia="zh-CN" w:bidi="ar"/>
              </w:rPr>
              <w:t>四川</w:t>
            </w:r>
            <w:r>
              <w:rPr>
                <w:rFonts w:hint="eastAsia" w:ascii="宋体" w:hAnsi="宋体" w:eastAsia="宋体" w:cs="宋体"/>
                <w:i w:val="0"/>
                <w:iCs w:val="0"/>
                <w:color w:val="auto"/>
                <w:kern w:val="0"/>
                <w:sz w:val="24"/>
                <w:szCs w:val="24"/>
                <w:highlight w:val="none"/>
                <w:u w:val="none"/>
                <w:lang w:val="en-US" w:eastAsia="zh-CN" w:bidi="ar"/>
              </w:rPr>
              <w:t>东辰</w:t>
            </w:r>
            <w:r>
              <w:rPr>
                <w:rFonts w:hint="eastAsia" w:hAnsi="宋体" w:eastAsia="宋体" w:cs="宋体"/>
                <w:i w:val="0"/>
                <w:iCs w:val="0"/>
                <w:color w:val="auto"/>
                <w:kern w:val="0"/>
                <w:sz w:val="24"/>
                <w:szCs w:val="24"/>
                <w:highlight w:val="none"/>
                <w:u w:val="none"/>
                <w:lang w:val="en-US" w:eastAsia="zh-CN" w:bidi="ar"/>
              </w:rPr>
              <w:t>逸鑫物业服务</w:t>
            </w:r>
            <w:r>
              <w:rPr>
                <w:rFonts w:hint="eastAsia" w:ascii="宋体" w:hAnsi="宋体" w:eastAsia="宋体" w:cs="宋体"/>
                <w:i w:val="0"/>
                <w:iCs w:val="0"/>
                <w:color w:val="auto"/>
                <w:kern w:val="0"/>
                <w:sz w:val="24"/>
                <w:szCs w:val="24"/>
                <w:highlight w:val="none"/>
                <w:u w:val="none"/>
                <w:lang w:val="en-US" w:eastAsia="zh-CN" w:bidi="ar"/>
              </w:rPr>
              <w:t>有限公司-保洁</w:t>
            </w:r>
            <w:r>
              <w:rPr>
                <w:rFonts w:hint="eastAsia" w:hAnsi="宋体" w:eastAsia="宋体" w:cs="宋体"/>
                <w:i w:val="0"/>
                <w:iCs w:val="0"/>
                <w:color w:val="auto"/>
                <w:kern w:val="0"/>
                <w:sz w:val="24"/>
                <w:szCs w:val="24"/>
                <w:highlight w:val="none"/>
                <w:u w:val="none"/>
                <w:lang w:val="en-US" w:eastAsia="zh-CN" w:bidi="ar"/>
              </w:rPr>
              <w:t>、绿化</w:t>
            </w:r>
            <w:r>
              <w:rPr>
                <w:rFonts w:hint="eastAsia" w:ascii="宋体" w:hAnsi="宋体" w:eastAsia="宋体" w:cs="宋体"/>
                <w:i w:val="0"/>
                <w:iCs w:val="0"/>
                <w:color w:val="auto"/>
                <w:kern w:val="0"/>
                <w:sz w:val="24"/>
                <w:szCs w:val="24"/>
                <w:highlight w:val="none"/>
                <w:u w:val="none"/>
                <w:lang w:val="en-US" w:eastAsia="zh-CN" w:bidi="ar"/>
              </w:rPr>
              <w:t>服务</w:t>
            </w:r>
          </w:p>
        </w:tc>
        <w:tc>
          <w:tcPr>
            <w:tcW w:w="763" w:type="dxa"/>
            <w:shd w:val="clear" w:color="auto" w:fill="auto"/>
            <w:noWrap/>
            <w:vAlign w:val="center"/>
          </w:tcPr>
          <w:p>
            <w:pPr>
              <w:ind w:left="0" w:leftChars="0" w:right="105" w:rightChars="0" w:firstLine="0" w:firstLineChars="0"/>
              <w:jc w:val="center"/>
              <w:rPr>
                <w:rFonts w:hint="eastAsia" w:asciiTheme="minorEastAsia" w:hAnsiTheme="minorEastAsia" w:eastAsiaTheme="minorEastAsia" w:cstheme="minorEastAsia"/>
                <w:color w:val="auto"/>
                <w:sz w:val="24"/>
                <w:szCs w:val="24"/>
                <w:highlight w:val="none"/>
                <w:lang w:val="en-US" w:eastAsia="zh-CN" w:bidi="ar-SA"/>
              </w:rPr>
            </w:pPr>
            <w:r>
              <w:rPr>
                <w:rStyle w:val="113"/>
                <w:rFonts w:hint="eastAsia" w:asciiTheme="minorEastAsia" w:hAnsiTheme="minorEastAsia" w:eastAsiaTheme="minorEastAsia" w:cstheme="minorEastAsia"/>
                <w:color w:val="auto"/>
                <w:sz w:val="24"/>
                <w:szCs w:val="24"/>
                <w:highlight w:val="none"/>
              </w:rPr>
              <w:t>2</w:t>
            </w:r>
          </w:p>
        </w:tc>
        <w:tc>
          <w:tcPr>
            <w:tcW w:w="729" w:type="dxa"/>
            <w:shd w:val="clear" w:color="auto" w:fill="auto"/>
            <w:noWrap/>
            <w:vAlign w:val="center"/>
          </w:tcPr>
          <w:p>
            <w:pPr>
              <w:pStyle w:val="102"/>
              <w:jc w:val="center"/>
              <w:rPr>
                <w:rFonts w:hint="eastAsia" w:asciiTheme="minorEastAsia" w:hAnsiTheme="minorEastAsia" w:eastAsiaTheme="minorEastAsia" w:cstheme="minorEastAsia"/>
                <w:color w:val="auto"/>
                <w:kern w:val="2"/>
                <w:sz w:val="24"/>
                <w:szCs w:val="24"/>
                <w:highlight w:val="none"/>
                <w:lang w:val="en-US" w:eastAsia="zh-CN" w:bidi="ar-SA"/>
              </w:rPr>
            </w:pPr>
            <w:r>
              <w:rPr>
                <w:rStyle w:val="113"/>
                <w:rFonts w:hint="eastAsia" w:asciiTheme="minorEastAsia" w:hAnsiTheme="minorEastAsia" w:eastAsiaTheme="minorEastAsia" w:cstheme="minorEastAsia"/>
                <w:color w:val="auto"/>
                <w:sz w:val="24"/>
                <w:szCs w:val="24"/>
                <w:highlight w:val="none"/>
              </w:rPr>
              <w:t>年</w:t>
            </w:r>
          </w:p>
        </w:tc>
        <w:tc>
          <w:tcPr>
            <w:tcW w:w="840" w:type="dxa"/>
            <w:noWrap/>
            <w:vAlign w:val="center"/>
          </w:tcPr>
          <w:p>
            <w:pPr>
              <w:pStyle w:val="102"/>
              <w:jc w:val="center"/>
              <w:rPr>
                <w:rFonts w:ascii="宋体" w:hAnsi="宋体" w:eastAsia="宋体" w:cs="宋体"/>
                <w:color w:val="auto"/>
                <w:sz w:val="24"/>
                <w:highlight w:val="none"/>
              </w:rPr>
            </w:pPr>
          </w:p>
        </w:tc>
        <w:tc>
          <w:tcPr>
            <w:tcW w:w="1905" w:type="dxa"/>
            <w:noWrap/>
            <w:vAlign w:val="center"/>
          </w:tcPr>
          <w:p>
            <w:pPr>
              <w:widowControl/>
              <w:spacing w:line="360" w:lineRule="atLeast"/>
              <w:ind w:right="105" w:rightChars="0" w:firstLine="470" w:firstLineChars="196"/>
              <w:jc w:val="center"/>
              <w:rPr>
                <w:rFonts w:hAnsi="宋体" w:eastAsia="宋体" w:cs="宋体"/>
                <w:color w:val="auto"/>
                <w:sz w:val="24"/>
                <w:highlight w:val="none"/>
              </w:rPr>
            </w:pPr>
          </w:p>
        </w:tc>
        <w:tc>
          <w:tcPr>
            <w:tcW w:w="1595" w:type="dxa"/>
            <w:noWrap/>
            <w:vAlign w:val="top"/>
          </w:tcPr>
          <w:p>
            <w:pPr>
              <w:widowControl/>
              <w:spacing w:line="360" w:lineRule="atLeast"/>
              <w:ind w:right="105" w:rightChars="0" w:firstLine="470" w:firstLineChars="196"/>
              <w:jc w:val="center"/>
              <w:rPr>
                <w:rFonts w:hint="default" w:hAnsi="宋体" w:eastAsia="宋体" w:cs="宋体"/>
                <w:color w:val="auto"/>
                <w:sz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4" w:hRule="atLeast"/>
          <w:jc w:val="center"/>
        </w:trPr>
        <w:tc>
          <w:tcPr>
            <w:tcW w:w="467" w:type="dxa"/>
            <w:noWrap/>
            <w:vAlign w:val="center"/>
          </w:tcPr>
          <w:p>
            <w:pPr>
              <w:widowControl/>
              <w:spacing w:line="360" w:lineRule="atLeast"/>
              <w:ind w:right="105" w:rightChars="0" w:firstLine="0" w:firstLineChars="0"/>
              <w:jc w:val="center"/>
              <w:rPr>
                <w:rFonts w:hint="eastAsia" w:hAnsi="宋体" w:eastAsia="宋体" w:cs="宋体"/>
                <w:color w:val="auto"/>
                <w:sz w:val="24"/>
                <w:highlight w:val="none"/>
                <w:lang w:val="en-US" w:eastAsia="zh-CN"/>
              </w:rPr>
            </w:pPr>
            <w:r>
              <w:rPr>
                <w:rFonts w:hint="eastAsia" w:hAnsi="宋体" w:eastAsia="宋体" w:cs="宋体"/>
                <w:color w:val="auto"/>
                <w:sz w:val="24"/>
                <w:highlight w:val="none"/>
                <w:lang w:val="en-US" w:eastAsia="zh-CN"/>
              </w:rPr>
              <w:t>2</w:t>
            </w:r>
          </w:p>
        </w:tc>
        <w:tc>
          <w:tcPr>
            <w:tcW w:w="2897" w:type="dxa"/>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color w:val="auto"/>
                <w:kern w:val="2"/>
                <w:sz w:val="24"/>
                <w:szCs w:val="24"/>
                <w:highlight w:val="none"/>
                <w:lang w:val="zh-CN" w:eastAsia="zh-CN" w:bidi="ar-SA"/>
              </w:rPr>
            </w:pPr>
            <w:r>
              <w:rPr>
                <w:rFonts w:hint="eastAsia" w:ascii="宋体" w:hAnsi="宋体" w:eastAsia="宋体" w:cs="宋体"/>
                <w:color w:val="auto"/>
                <w:kern w:val="2"/>
                <w:sz w:val="24"/>
                <w:szCs w:val="24"/>
                <w:highlight w:val="none"/>
                <w:lang w:val="zh-CN" w:eastAsia="zh-CN" w:bidi="ar-SA"/>
              </w:rPr>
              <w:t>四川东辰物业服务有限公司-保洁</w:t>
            </w:r>
            <w:r>
              <w:rPr>
                <w:rFonts w:hint="eastAsia" w:hAnsi="宋体" w:eastAsia="宋体" w:cs="宋体"/>
                <w:color w:val="auto"/>
                <w:kern w:val="2"/>
                <w:sz w:val="24"/>
                <w:szCs w:val="24"/>
                <w:highlight w:val="none"/>
                <w:lang w:val="zh-CN" w:eastAsia="zh-CN" w:bidi="ar-SA"/>
              </w:rPr>
              <w:t>、</w:t>
            </w:r>
            <w:r>
              <w:rPr>
                <w:rFonts w:hint="eastAsia" w:hAnsi="宋体" w:eastAsia="宋体" w:cs="宋体"/>
                <w:color w:val="auto"/>
                <w:kern w:val="2"/>
                <w:sz w:val="24"/>
                <w:szCs w:val="24"/>
                <w:highlight w:val="none"/>
                <w:lang w:val="en-US" w:eastAsia="zh-CN" w:bidi="ar-SA"/>
              </w:rPr>
              <w:t>绿化</w:t>
            </w:r>
            <w:r>
              <w:rPr>
                <w:rFonts w:hint="eastAsia" w:ascii="宋体" w:hAnsi="宋体" w:eastAsia="宋体" w:cs="宋体"/>
                <w:color w:val="auto"/>
                <w:kern w:val="2"/>
                <w:sz w:val="24"/>
                <w:szCs w:val="24"/>
                <w:highlight w:val="none"/>
                <w:lang w:val="zh-CN" w:eastAsia="zh-CN" w:bidi="ar-SA"/>
              </w:rPr>
              <w:t>服务</w:t>
            </w:r>
          </w:p>
        </w:tc>
        <w:tc>
          <w:tcPr>
            <w:tcW w:w="763" w:type="dxa"/>
            <w:shd w:val="clear" w:color="auto" w:fill="auto"/>
            <w:noWrap/>
            <w:vAlign w:val="center"/>
          </w:tcPr>
          <w:p>
            <w:pPr>
              <w:ind w:left="0" w:leftChars="0" w:right="105" w:rightChars="0" w:firstLine="0" w:firstLineChars="0"/>
              <w:jc w:val="center"/>
              <w:rPr>
                <w:rFonts w:hint="eastAsia" w:asciiTheme="minorEastAsia" w:hAnsiTheme="minorEastAsia" w:eastAsiaTheme="minorEastAsia" w:cstheme="minorEastAsia"/>
                <w:color w:val="auto"/>
                <w:sz w:val="24"/>
                <w:szCs w:val="24"/>
                <w:highlight w:val="none"/>
                <w:lang w:val="en-US" w:eastAsia="zh-CN" w:bidi="ar-SA"/>
              </w:rPr>
            </w:pPr>
            <w:r>
              <w:rPr>
                <w:rStyle w:val="113"/>
                <w:rFonts w:hint="eastAsia" w:asciiTheme="minorEastAsia" w:hAnsiTheme="minorEastAsia" w:eastAsiaTheme="minorEastAsia" w:cstheme="minorEastAsia"/>
                <w:color w:val="auto"/>
                <w:sz w:val="24"/>
                <w:szCs w:val="24"/>
                <w:highlight w:val="none"/>
              </w:rPr>
              <w:t>2</w:t>
            </w:r>
          </w:p>
        </w:tc>
        <w:tc>
          <w:tcPr>
            <w:tcW w:w="729" w:type="dxa"/>
            <w:shd w:val="clear" w:color="auto" w:fill="auto"/>
            <w:noWrap/>
            <w:vAlign w:val="center"/>
          </w:tcPr>
          <w:p>
            <w:pPr>
              <w:pStyle w:val="102"/>
              <w:jc w:val="center"/>
              <w:rPr>
                <w:rFonts w:hint="eastAsia" w:asciiTheme="minorEastAsia" w:hAnsiTheme="minorEastAsia" w:eastAsiaTheme="minorEastAsia" w:cstheme="minorEastAsia"/>
                <w:color w:val="auto"/>
                <w:kern w:val="2"/>
                <w:sz w:val="24"/>
                <w:szCs w:val="24"/>
                <w:highlight w:val="none"/>
                <w:lang w:val="en-US" w:eastAsia="zh-CN" w:bidi="ar-SA"/>
              </w:rPr>
            </w:pPr>
            <w:r>
              <w:rPr>
                <w:rStyle w:val="113"/>
                <w:rFonts w:hint="eastAsia" w:asciiTheme="minorEastAsia" w:hAnsiTheme="minorEastAsia" w:eastAsiaTheme="minorEastAsia" w:cstheme="minorEastAsia"/>
                <w:color w:val="auto"/>
                <w:sz w:val="24"/>
                <w:szCs w:val="24"/>
                <w:highlight w:val="none"/>
              </w:rPr>
              <w:t>年</w:t>
            </w:r>
          </w:p>
        </w:tc>
        <w:tc>
          <w:tcPr>
            <w:tcW w:w="840" w:type="dxa"/>
            <w:noWrap/>
            <w:vAlign w:val="center"/>
          </w:tcPr>
          <w:p>
            <w:pPr>
              <w:pStyle w:val="102"/>
              <w:jc w:val="center"/>
              <w:rPr>
                <w:rFonts w:ascii="宋体" w:hAnsi="宋体" w:eastAsia="宋体" w:cs="宋体"/>
                <w:color w:val="auto"/>
                <w:sz w:val="24"/>
                <w:highlight w:val="none"/>
              </w:rPr>
            </w:pPr>
          </w:p>
        </w:tc>
        <w:tc>
          <w:tcPr>
            <w:tcW w:w="1905" w:type="dxa"/>
            <w:noWrap/>
            <w:vAlign w:val="center"/>
          </w:tcPr>
          <w:p>
            <w:pPr>
              <w:widowControl/>
              <w:spacing w:line="360" w:lineRule="atLeast"/>
              <w:ind w:right="105" w:rightChars="0" w:firstLine="470" w:firstLineChars="196"/>
              <w:jc w:val="center"/>
              <w:rPr>
                <w:rFonts w:hAnsi="宋体" w:eastAsia="宋体" w:cs="宋体"/>
                <w:color w:val="auto"/>
                <w:sz w:val="24"/>
                <w:highlight w:val="none"/>
              </w:rPr>
            </w:pPr>
          </w:p>
        </w:tc>
        <w:tc>
          <w:tcPr>
            <w:tcW w:w="1595" w:type="dxa"/>
            <w:noWrap/>
            <w:vAlign w:val="top"/>
          </w:tcPr>
          <w:p>
            <w:pPr>
              <w:widowControl/>
              <w:spacing w:line="360" w:lineRule="atLeast"/>
              <w:ind w:right="105" w:rightChars="0" w:firstLine="470" w:firstLineChars="196"/>
              <w:jc w:val="center"/>
              <w:rPr>
                <w:rFonts w:hint="default" w:hAnsi="宋体" w:eastAsia="宋体" w:cs="宋体"/>
                <w:color w:val="auto"/>
                <w:sz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4" w:hRule="atLeast"/>
          <w:jc w:val="center"/>
        </w:trPr>
        <w:tc>
          <w:tcPr>
            <w:tcW w:w="467" w:type="dxa"/>
            <w:noWrap/>
            <w:vAlign w:val="center"/>
          </w:tcPr>
          <w:p>
            <w:pPr>
              <w:widowControl/>
              <w:spacing w:line="360" w:lineRule="atLeast"/>
              <w:ind w:right="105" w:rightChars="0" w:firstLine="0" w:firstLineChars="0"/>
              <w:jc w:val="center"/>
              <w:rPr>
                <w:rFonts w:hint="default" w:hAnsi="宋体" w:eastAsia="宋体" w:cs="宋体"/>
                <w:color w:val="auto"/>
                <w:sz w:val="24"/>
                <w:highlight w:val="none"/>
                <w:lang w:val="en-US" w:eastAsia="zh-CN"/>
              </w:rPr>
            </w:pPr>
            <w:r>
              <w:rPr>
                <w:rFonts w:hint="eastAsia" w:hAnsi="宋体" w:eastAsia="宋体" w:cs="宋体"/>
                <w:color w:val="auto"/>
                <w:sz w:val="24"/>
                <w:highlight w:val="none"/>
                <w:lang w:val="en-US" w:eastAsia="zh-CN"/>
              </w:rPr>
              <w:t>3</w:t>
            </w:r>
          </w:p>
        </w:tc>
        <w:tc>
          <w:tcPr>
            <w:tcW w:w="2897" w:type="dxa"/>
            <w:shd w:val="clear" w:color="auto" w:fill="auto"/>
            <w:noWrap/>
            <w:vAlign w:val="center"/>
          </w:tcPr>
          <w:p>
            <w:pPr>
              <w:keepNext w:val="0"/>
              <w:keepLines w:val="0"/>
              <w:widowControl/>
              <w:suppressLineNumbers w:val="0"/>
              <w:ind w:left="0" w:leftChars="0" w:firstLine="0" w:firstLineChars="0"/>
              <w:jc w:val="both"/>
              <w:textAlignment w:val="center"/>
              <w:rPr>
                <w:rFonts w:hint="default" w:ascii="宋体" w:hAnsi="宋体" w:eastAsia="宋体" w:cs="宋体"/>
                <w:color w:val="auto"/>
                <w:kern w:val="2"/>
                <w:sz w:val="24"/>
                <w:szCs w:val="24"/>
                <w:highlight w:val="none"/>
                <w:lang w:val="en-US" w:eastAsia="zh-CN" w:bidi="ar-SA"/>
              </w:rPr>
            </w:pPr>
            <w:r>
              <w:rPr>
                <w:rFonts w:hint="eastAsia" w:hAnsi="宋体" w:eastAsia="宋体" w:cs="宋体"/>
                <w:color w:val="auto"/>
                <w:kern w:val="2"/>
                <w:sz w:val="24"/>
                <w:szCs w:val="24"/>
                <w:highlight w:val="none"/>
                <w:lang w:val="en-US" w:eastAsia="zh-CN" w:bidi="ar-SA"/>
              </w:rPr>
              <w:t>四川辰悦联家物业服务有限公司-保洁、绿化服务</w:t>
            </w:r>
          </w:p>
        </w:tc>
        <w:tc>
          <w:tcPr>
            <w:tcW w:w="763" w:type="dxa"/>
            <w:shd w:val="clear" w:color="auto" w:fill="auto"/>
            <w:noWrap/>
            <w:vAlign w:val="center"/>
          </w:tcPr>
          <w:p>
            <w:pPr>
              <w:ind w:left="0" w:leftChars="0" w:right="105" w:rightChars="0" w:firstLine="0" w:firstLineChars="0"/>
              <w:jc w:val="center"/>
              <w:rPr>
                <w:rStyle w:val="113"/>
                <w:rFonts w:hint="eastAsia" w:asciiTheme="minorEastAsia" w:hAnsiTheme="minorEastAsia" w:eastAsiaTheme="minorEastAsia" w:cstheme="minorEastAsia"/>
                <w:color w:val="auto"/>
                <w:sz w:val="24"/>
                <w:szCs w:val="24"/>
                <w:highlight w:val="none"/>
                <w:lang w:val="en-US" w:eastAsia="zh-CN"/>
              </w:rPr>
            </w:pPr>
            <w:r>
              <w:rPr>
                <w:rStyle w:val="113"/>
                <w:rFonts w:hint="eastAsia" w:asciiTheme="minorEastAsia" w:hAnsiTheme="minorEastAsia" w:eastAsiaTheme="minorEastAsia" w:cstheme="minorEastAsia"/>
                <w:color w:val="auto"/>
                <w:sz w:val="24"/>
                <w:szCs w:val="24"/>
                <w:highlight w:val="none"/>
                <w:lang w:val="en-US" w:eastAsia="zh-CN"/>
              </w:rPr>
              <w:t>2</w:t>
            </w:r>
          </w:p>
        </w:tc>
        <w:tc>
          <w:tcPr>
            <w:tcW w:w="729" w:type="dxa"/>
            <w:shd w:val="clear" w:color="auto" w:fill="auto"/>
            <w:noWrap/>
            <w:vAlign w:val="center"/>
          </w:tcPr>
          <w:p>
            <w:pPr>
              <w:pStyle w:val="102"/>
              <w:jc w:val="center"/>
              <w:rPr>
                <w:rStyle w:val="113"/>
                <w:rFonts w:hint="eastAsia" w:asciiTheme="minorEastAsia" w:hAnsiTheme="minorEastAsia" w:eastAsiaTheme="minorEastAsia" w:cstheme="minorEastAsia"/>
                <w:color w:val="auto"/>
                <w:sz w:val="24"/>
                <w:szCs w:val="24"/>
                <w:highlight w:val="none"/>
                <w:lang w:val="en-US" w:eastAsia="zh-CN"/>
              </w:rPr>
            </w:pPr>
            <w:r>
              <w:rPr>
                <w:rStyle w:val="113"/>
                <w:rFonts w:hint="eastAsia" w:asciiTheme="minorEastAsia" w:hAnsiTheme="minorEastAsia" w:eastAsiaTheme="minorEastAsia" w:cstheme="minorEastAsia"/>
                <w:color w:val="auto"/>
                <w:sz w:val="24"/>
                <w:szCs w:val="24"/>
                <w:highlight w:val="none"/>
                <w:lang w:val="en-US" w:eastAsia="zh-CN"/>
              </w:rPr>
              <w:t>年</w:t>
            </w:r>
          </w:p>
        </w:tc>
        <w:tc>
          <w:tcPr>
            <w:tcW w:w="840" w:type="dxa"/>
            <w:noWrap/>
            <w:vAlign w:val="center"/>
          </w:tcPr>
          <w:p>
            <w:pPr>
              <w:pStyle w:val="102"/>
              <w:jc w:val="center"/>
              <w:rPr>
                <w:rFonts w:ascii="宋体" w:hAnsi="宋体" w:eastAsia="宋体" w:cs="宋体"/>
                <w:color w:val="auto"/>
                <w:sz w:val="24"/>
                <w:highlight w:val="none"/>
              </w:rPr>
            </w:pPr>
          </w:p>
        </w:tc>
        <w:tc>
          <w:tcPr>
            <w:tcW w:w="1905" w:type="dxa"/>
            <w:noWrap/>
            <w:vAlign w:val="center"/>
          </w:tcPr>
          <w:p>
            <w:pPr>
              <w:widowControl/>
              <w:spacing w:line="360" w:lineRule="atLeast"/>
              <w:ind w:right="105" w:rightChars="0" w:firstLine="470" w:firstLineChars="196"/>
              <w:jc w:val="center"/>
              <w:rPr>
                <w:rFonts w:hAnsi="宋体" w:eastAsia="宋体" w:cs="宋体"/>
                <w:color w:val="auto"/>
                <w:sz w:val="24"/>
                <w:highlight w:val="none"/>
              </w:rPr>
            </w:pPr>
          </w:p>
        </w:tc>
        <w:tc>
          <w:tcPr>
            <w:tcW w:w="1595" w:type="dxa"/>
            <w:noWrap/>
            <w:vAlign w:val="top"/>
          </w:tcPr>
          <w:p>
            <w:pPr>
              <w:widowControl/>
              <w:spacing w:line="360" w:lineRule="atLeast"/>
              <w:ind w:right="105" w:rightChars="0" w:firstLine="470" w:firstLineChars="196"/>
              <w:jc w:val="center"/>
              <w:rPr>
                <w:rFonts w:hint="default" w:hAnsi="宋体" w:eastAsia="宋体" w:cs="宋体"/>
                <w:color w:val="auto"/>
                <w:sz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4" w:hRule="atLeast"/>
          <w:jc w:val="center"/>
        </w:trPr>
        <w:tc>
          <w:tcPr>
            <w:tcW w:w="467" w:type="dxa"/>
            <w:noWrap/>
            <w:vAlign w:val="center"/>
          </w:tcPr>
          <w:p>
            <w:pPr>
              <w:widowControl/>
              <w:spacing w:line="360" w:lineRule="atLeast"/>
              <w:ind w:right="105" w:rightChars="0" w:firstLine="0" w:firstLineChars="0"/>
              <w:jc w:val="center"/>
              <w:rPr>
                <w:rFonts w:hint="default" w:hAnsi="宋体" w:eastAsia="宋体" w:cs="宋体"/>
                <w:color w:val="auto"/>
                <w:sz w:val="24"/>
                <w:highlight w:val="none"/>
                <w:lang w:val="en-US" w:eastAsia="zh-CN"/>
              </w:rPr>
            </w:pPr>
            <w:r>
              <w:rPr>
                <w:rFonts w:hint="eastAsia" w:hAnsi="宋体" w:eastAsia="宋体" w:cs="宋体"/>
                <w:color w:val="auto"/>
                <w:sz w:val="24"/>
                <w:highlight w:val="none"/>
                <w:lang w:val="en-US" w:eastAsia="zh-CN"/>
              </w:rPr>
              <w:t>4</w:t>
            </w:r>
          </w:p>
        </w:tc>
        <w:tc>
          <w:tcPr>
            <w:tcW w:w="2897" w:type="dxa"/>
            <w:shd w:val="clear" w:color="auto" w:fill="auto"/>
            <w:noWrap/>
            <w:vAlign w:val="center"/>
          </w:tcPr>
          <w:p>
            <w:pPr>
              <w:keepNext w:val="0"/>
              <w:keepLines w:val="0"/>
              <w:widowControl/>
              <w:suppressLineNumbers w:val="0"/>
              <w:ind w:left="0" w:leftChars="0" w:firstLine="0" w:firstLineChars="0"/>
              <w:jc w:val="both"/>
              <w:textAlignment w:val="center"/>
              <w:rPr>
                <w:rFonts w:hint="default" w:hAnsi="宋体" w:eastAsia="宋体" w:cs="宋体"/>
                <w:color w:val="auto"/>
                <w:kern w:val="2"/>
                <w:sz w:val="24"/>
                <w:szCs w:val="24"/>
                <w:highlight w:val="none"/>
                <w:lang w:val="en-US" w:eastAsia="zh-CN" w:bidi="ar-SA"/>
              </w:rPr>
            </w:pPr>
            <w:r>
              <w:rPr>
                <w:rFonts w:hint="eastAsia" w:hAnsi="宋体" w:eastAsia="宋体" w:cs="宋体"/>
                <w:color w:val="auto"/>
                <w:kern w:val="2"/>
                <w:sz w:val="24"/>
                <w:szCs w:val="24"/>
                <w:highlight w:val="none"/>
                <w:lang w:val="en-US" w:eastAsia="zh-CN" w:bidi="ar-SA"/>
              </w:rPr>
              <w:t>四川东辰仙海物业服务有限公司-保洁、绿化服务</w:t>
            </w:r>
          </w:p>
        </w:tc>
        <w:tc>
          <w:tcPr>
            <w:tcW w:w="763" w:type="dxa"/>
            <w:shd w:val="clear" w:color="auto" w:fill="auto"/>
            <w:noWrap/>
            <w:vAlign w:val="center"/>
          </w:tcPr>
          <w:p>
            <w:pPr>
              <w:ind w:left="0" w:leftChars="0" w:right="105" w:rightChars="0" w:firstLine="0" w:firstLineChars="0"/>
              <w:jc w:val="center"/>
              <w:rPr>
                <w:rStyle w:val="113"/>
                <w:rFonts w:hint="default" w:asciiTheme="minorEastAsia" w:hAnsiTheme="minorEastAsia" w:eastAsiaTheme="minorEastAsia" w:cstheme="minorEastAsia"/>
                <w:color w:val="auto"/>
                <w:sz w:val="24"/>
                <w:szCs w:val="24"/>
                <w:highlight w:val="none"/>
                <w:lang w:val="en-US" w:eastAsia="zh-CN"/>
              </w:rPr>
            </w:pPr>
            <w:r>
              <w:rPr>
                <w:rStyle w:val="113"/>
                <w:rFonts w:hint="eastAsia" w:asciiTheme="minorEastAsia" w:hAnsiTheme="minorEastAsia" w:eastAsiaTheme="minorEastAsia" w:cstheme="minorEastAsia"/>
                <w:color w:val="auto"/>
                <w:sz w:val="24"/>
                <w:szCs w:val="24"/>
                <w:highlight w:val="none"/>
                <w:lang w:val="en-US" w:eastAsia="zh-CN"/>
              </w:rPr>
              <w:t>2</w:t>
            </w:r>
          </w:p>
        </w:tc>
        <w:tc>
          <w:tcPr>
            <w:tcW w:w="729" w:type="dxa"/>
            <w:shd w:val="clear" w:color="auto" w:fill="auto"/>
            <w:noWrap/>
            <w:vAlign w:val="center"/>
          </w:tcPr>
          <w:p>
            <w:pPr>
              <w:pStyle w:val="102"/>
              <w:jc w:val="center"/>
              <w:rPr>
                <w:rStyle w:val="113"/>
                <w:rFonts w:hint="default" w:asciiTheme="minorEastAsia" w:hAnsiTheme="minorEastAsia" w:eastAsiaTheme="minorEastAsia" w:cstheme="minorEastAsia"/>
                <w:color w:val="auto"/>
                <w:sz w:val="24"/>
                <w:szCs w:val="24"/>
                <w:highlight w:val="none"/>
                <w:lang w:val="en-US" w:eastAsia="zh-CN"/>
              </w:rPr>
            </w:pPr>
            <w:r>
              <w:rPr>
                <w:rStyle w:val="113"/>
                <w:rFonts w:hint="eastAsia" w:asciiTheme="minorEastAsia" w:hAnsiTheme="minorEastAsia" w:eastAsiaTheme="minorEastAsia" w:cstheme="minorEastAsia"/>
                <w:color w:val="auto"/>
                <w:sz w:val="24"/>
                <w:szCs w:val="24"/>
                <w:highlight w:val="none"/>
                <w:lang w:val="en-US" w:eastAsia="zh-CN"/>
              </w:rPr>
              <w:t>年</w:t>
            </w:r>
          </w:p>
        </w:tc>
        <w:tc>
          <w:tcPr>
            <w:tcW w:w="840" w:type="dxa"/>
            <w:noWrap/>
            <w:vAlign w:val="center"/>
          </w:tcPr>
          <w:p>
            <w:pPr>
              <w:pStyle w:val="102"/>
              <w:jc w:val="center"/>
              <w:rPr>
                <w:rFonts w:ascii="宋体" w:hAnsi="宋体" w:eastAsia="宋体" w:cs="宋体"/>
                <w:color w:val="auto"/>
                <w:sz w:val="24"/>
                <w:highlight w:val="none"/>
              </w:rPr>
            </w:pPr>
          </w:p>
        </w:tc>
        <w:tc>
          <w:tcPr>
            <w:tcW w:w="1905" w:type="dxa"/>
            <w:noWrap/>
            <w:vAlign w:val="center"/>
          </w:tcPr>
          <w:p>
            <w:pPr>
              <w:widowControl/>
              <w:spacing w:line="360" w:lineRule="atLeast"/>
              <w:ind w:right="105" w:rightChars="0" w:firstLine="470" w:firstLineChars="196"/>
              <w:jc w:val="center"/>
              <w:rPr>
                <w:rFonts w:hAnsi="宋体" w:eastAsia="宋体" w:cs="宋体"/>
                <w:color w:val="auto"/>
                <w:sz w:val="24"/>
                <w:highlight w:val="none"/>
              </w:rPr>
            </w:pPr>
          </w:p>
        </w:tc>
        <w:tc>
          <w:tcPr>
            <w:tcW w:w="1595" w:type="dxa"/>
            <w:noWrap/>
            <w:vAlign w:val="top"/>
          </w:tcPr>
          <w:p>
            <w:pPr>
              <w:widowControl/>
              <w:spacing w:line="360" w:lineRule="atLeast"/>
              <w:ind w:right="105" w:rightChars="0" w:firstLine="470" w:firstLineChars="196"/>
              <w:jc w:val="center"/>
              <w:rPr>
                <w:rFonts w:hint="default" w:hAnsi="宋体" w:eastAsia="宋体" w:cs="宋体"/>
                <w:color w:val="auto"/>
                <w:sz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7" w:hRule="atLeast"/>
          <w:jc w:val="center"/>
        </w:trPr>
        <w:tc>
          <w:tcPr>
            <w:tcW w:w="9196" w:type="dxa"/>
            <w:gridSpan w:val="7"/>
            <w:tcBorders>
              <w:bottom w:val="single" w:color="auto" w:sz="4" w:space="0"/>
            </w:tcBorders>
            <w:noWrap/>
            <w:vAlign w:val="top"/>
          </w:tcPr>
          <w:p>
            <w:pPr>
              <w:widowControl/>
              <w:spacing w:line="360" w:lineRule="atLeast"/>
              <w:ind w:left="0" w:leftChars="0" w:right="105" w:rightChars="0" w:firstLine="0" w:firstLineChars="0"/>
              <w:jc w:val="both"/>
              <w:rPr>
                <w:rFonts w:hAnsi="宋体" w:eastAsia="宋体" w:cs="宋体"/>
                <w:color w:val="auto"/>
                <w:sz w:val="24"/>
                <w:highlight w:val="none"/>
              </w:rPr>
            </w:pPr>
            <w:r>
              <w:rPr>
                <w:rFonts w:hint="eastAsia" w:hAnsi="宋体" w:eastAsia="宋体" w:cs="宋体"/>
                <w:color w:val="auto"/>
                <w:sz w:val="24"/>
                <w:highlight w:val="none"/>
                <w:lang w:eastAsia="zh-CN"/>
              </w:rPr>
              <w:t>项目投标</w:t>
            </w:r>
            <w:r>
              <w:rPr>
                <w:rFonts w:hint="eastAsia" w:hAnsi="宋体" w:eastAsia="宋体" w:cs="宋体"/>
                <w:color w:val="auto"/>
                <w:sz w:val="24"/>
                <w:highlight w:val="none"/>
              </w:rPr>
              <w:t>报价合计（万元</w:t>
            </w:r>
            <w:r>
              <w:rPr>
                <w:rFonts w:hint="eastAsia" w:hAnsi="宋体" w:eastAsia="宋体" w:cs="宋体"/>
                <w:color w:val="auto"/>
                <w:sz w:val="24"/>
                <w:highlight w:val="none"/>
                <w:lang w:eastAsia="zh-CN"/>
              </w:rPr>
              <w:t>；含税</w:t>
            </w:r>
            <w:r>
              <w:rPr>
                <w:rFonts w:hint="eastAsia" w:hAnsi="宋体" w:eastAsia="宋体" w:cs="宋体"/>
                <w:color w:val="auto"/>
                <w:sz w:val="24"/>
                <w:highlight w:val="none"/>
              </w:rPr>
              <w:t>）：             大写：</w:t>
            </w:r>
          </w:p>
        </w:tc>
      </w:tr>
    </w:tbl>
    <w:p>
      <w:pPr>
        <w:ind w:right="105" w:firstLine="280" w:firstLineChars="100"/>
        <w:rPr>
          <w:rFonts w:hAnsi="宋体" w:eastAsia="宋体" w:cs="宋体"/>
          <w:b/>
          <w:bCs/>
          <w:color w:val="auto"/>
          <w:sz w:val="28"/>
          <w:szCs w:val="28"/>
          <w:highlight w:val="none"/>
        </w:rPr>
      </w:pPr>
      <w:r>
        <w:rPr>
          <w:rFonts w:hint="eastAsia" w:hAnsi="宋体" w:eastAsia="宋体" w:cs="宋体"/>
          <w:color w:val="auto"/>
          <w:sz w:val="28"/>
          <w:szCs w:val="28"/>
          <w:highlight w:val="none"/>
        </w:rPr>
        <w:t xml:space="preserve"> 注：</w:t>
      </w:r>
      <w:r>
        <w:rPr>
          <w:rFonts w:hint="eastAsia" w:hAnsi="宋体" w:eastAsia="宋体" w:cs="宋体"/>
          <w:b/>
          <w:bCs/>
          <w:color w:val="auto"/>
          <w:sz w:val="28"/>
          <w:szCs w:val="28"/>
          <w:highlight w:val="none"/>
        </w:rPr>
        <w:t>本报价已包括人员的工资、五险一金、年度考核绩效、加班工资、福利、供应商的管理费用、利润</w:t>
      </w:r>
      <w:r>
        <w:rPr>
          <w:rFonts w:hint="eastAsia" w:hAnsi="宋体" w:eastAsia="宋体" w:cs="宋体"/>
          <w:b/>
          <w:bCs/>
          <w:color w:val="auto"/>
          <w:sz w:val="28"/>
          <w:szCs w:val="28"/>
          <w:highlight w:val="none"/>
          <w:lang w:eastAsia="zh-CN"/>
        </w:rPr>
        <w:t>、安全责任</w:t>
      </w:r>
      <w:r>
        <w:rPr>
          <w:rFonts w:hint="eastAsia" w:hAnsi="宋体" w:eastAsia="宋体" w:cs="宋体"/>
          <w:b/>
          <w:bCs/>
          <w:color w:val="auto"/>
          <w:sz w:val="28"/>
          <w:szCs w:val="28"/>
          <w:highlight w:val="none"/>
        </w:rPr>
        <w:t>等为完成本项目的一切费用。</w:t>
      </w:r>
    </w:p>
    <w:p>
      <w:pPr>
        <w:widowControl/>
        <w:ind w:right="105" w:firstLine="548" w:firstLineChars="196"/>
        <w:jc w:val="left"/>
        <w:rPr>
          <w:rFonts w:hAnsi="宋体" w:eastAsia="宋体" w:cs="宋体"/>
          <w:color w:val="auto"/>
          <w:sz w:val="28"/>
          <w:szCs w:val="28"/>
          <w:highlight w:val="none"/>
        </w:rPr>
      </w:pPr>
      <w:r>
        <w:rPr>
          <w:rFonts w:hint="eastAsia" w:hAnsi="宋体" w:eastAsia="宋体" w:cs="宋体"/>
          <w:color w:val="auto"/>
          <w:sz w:val="28"/>
          <w:szCs w:val="28"/>
          <w:highlight w:val="none"/>
        </w:rPr>
        <w:t>投标人名称：（单位公章）</w:t>
      </w:r>
    </w:p>
    <w:p>
      <w:pPr>
        <w:widowControl/>
        <w:ind w:right="105" w:firstLine="548" w:firstLineChars="196"/>
        <w:jc w:val="left"/>
        <w:rPr>
          <w:rFonts w:hAnsi="宋体" w:eastAsia="宋体" w:cs="宋体"/>
          <w:color w:val="auto"/>
          <w:sz w:val="28"/>
          <w:szCs w:val="28"/>
          <w:highlight w:val="none"/>
        </w:rPr>
      </w:pPr>
      <w:r>
        <w:rPr>
          <w:rFonts w:hint="eastAsia" w:hAnsi="宋体" w:eastAsia="宋体" w:cs="宋体"/>
          <w:color w:val="auto"/>
          <w:sz w:val="28"/>
          <w:szCs w:val="28"/>
          <w:highlight w:val="none"/>
        </w:rPr>
        <w:t>法定代表人或授权代表（签字或加盖个人名章）：</w:t>
      </w:r>
    </w:p>
    <w:p>
      <w:pPr>
        <w:widowControl/>
        <w:ind w:right="105" w:firstLine="548" w:firstLineChars="196"/>
        <w:jc w:val="left"/>
        <w:rPr>
          <w:rFonts w:hAnsi="宋体" w:eastAsia="宋体" w:cs="宋体"/>
          <w:color w:val="auto"/>
          <w:sz w:val="28"/>
          <w:szCs w:val="28"/>
          <w:highlight w:val="none"/>
        </w:rPr>
      </w:pPr>
      <w:r>
        <w:rPr>
          <w:rFonts w:hint="eastAsia" w:hAnsi="宋体" w:eastAsia="宋体" w:cs="宋体"/>
          <w:color w:val="auto"/>
          <w:sz w:val="28"/>
          <w:szCs w:val="28"/>
          <w:highlight w:val="none"/>
        </w:rPr>
        <w:t xml:space="preserve">日 期： </w:t>
      </w:r>
    </w:p>
    <w:p>
      <w:pPr>
        <w:pStyle w:val="29"/>
        <w:ind w:right="105" w:firstLine="270"/>
        <w:rPr>
          <w:rFonts w:ascii="宋体" w:hAnsi="宋体" w:eastAsia="宋体" w:cs="宋体"/>
          <w:color w:val="auto"/>
          <w:spacing w:val="5"/>
          <w:sz w:val="26"/>
          <w:szCs w:val="26"/>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ind w:right="105" w:firstLine="0" w:firstLineChars="0"/>
        <w:outlineLvl w:val="2"/>
        <w:rPr>
          <w:rFonts w:hAnsi="宋体" w:eastAsia="宋体" w:cs="宋体"/>
          <w:b/>
          <w:color w:val="auto"/>
          <w:sz w:val="44"/>
          <w:highlight w:val="none"/>
        </w:rPr>
      </w:pPr>
      <w:bookmarkStart w:id="24" w:name="_Toc32396"/>
      <w:r>
        <w:rPr>
          <w:rFonts w:hint="eastAsia" w:hAnsi="宋体" w:eastAsia="宋体" w:cs="宋体"/>
          <w:bCs/>
          <w:color w:val="auto"/>
          <w:sz w:val="28"/>
          <w:szCs w:val="28"/>
          <w:highlight w:val="none"/>
        </w:rPr>
        <w:t>附件3：</w:t>
      </w:r>
      <w:r>
        <w:rPr>
          <w:rFonts w:hint="eastAsia" w:hAnsi="宋体" w:eastAsia="宋体" w:cs="宋体"/>
          <w:color w:val="auto"/>
          <w:sz w:val="28"/>
          <w:highlight w:val="none"/>
        </w:rPr>
        <w:t xml:space="preserve"> 资信部分</w:t>
      </w:r>
      <w:r>
        <w:rPr>
          <w:rFonts w:hint="eastAsia" w:hAnsi="宋体" w:eastAsia="宋体" w:cs="宋体"/>
          <w:color w:val="auto"/>
          <w:sz w:val="28"/>
          <w:szCs w:val="28"/>
          <w:highlight w:val="none"/>
        </w:rPr>
        <w:t>投标文件封面</w:t>
      </w:r>
      <w:bookmarkEnd w:id="24"/>
    </w:p>
    <w:p>
      <w:pPr>
        <w:pStyle w:val="8"/>
        <w:ind w:right="105"/>
        <w:rPr>
          <w:rFonts w:ascii="宋体" w:hAnsi="宋体" w:eastAsia="宋体" w:cs="宋体"/>
          <w:color w:val="auto"/>
          <w:highlight w:val="none"/>
        </w:rPr>
      </w:pPr>
    </w:p>
    <w:p>
      <w:pPr>
        <w:pStyle w:val="9"/>
        <w:ind w:right="105" w:firstLine="420"/>
        <w:rPr>
          <w:rFonts w:hAnsi="宋体" w:eastAsia="宋体" w:cs="宋体"/>
          <w:b/>
          <w:bCs/>
          <w:color w:val="auto"/>
          <w:sz w:val="36"/>
          <w:szCs w:val="36"/>
          <w:highlight w:val="none"/>
        </w:rPr>
      </w:pPr>
      <w:r>
        <w:rPr>
          <w:rFonts w:hint="eastAsia" w:hAnsi="宋体" w:eastAsia="宋体" w:cs="宋体"/>
          <w:b/>
          <w:bCs/>
          <w:color w:val="auto"/>
          <w:sz w:val="36"/>
          <w:szCs w:val="36"/>
          <w:highlight w:val="none"/>
          <w:lang w:val="zh-TW" w:eastAsia="zh-TW"/>
        </w:rPr>
        <w:t>2025—2027年东辰集团</w:t>
      </w:r>
      <w:r>
        <w:rPr>
          <w:rFonts w:hint="eastAsia" w:hAnsi="宋体" w:eastAsia="宋体" w:cs="宋体"/>
          <w:b/>
          <w:bCs/>
          <w:color w:val="auto"/>
          <w:sz w:val="36"/>
          <w:szCs w:val="36"/>
          <w:highlight w:val="none"/>
          <w:lang w:val="en-US" w:eastAsia="zh-CN"/>
        </w:rPr>
        <w:t>物业</w:t>
      </w:r>
      <w:r>
        <w:rPr>
          <w:rFonts w:hint="eastAsia" w:hAnsi="宋体" w:eastAsia="宋体" w:cs="宋体"/>
          <w:b/>
          <w:bCs/>
          <w:color w:val="auto"/>
          <w:sz w:val="36"/>
          <w:szCs w:val="36"/>
          <w:highlight w:val="none"/>
          <w:lang w:val="zh-TW" w:eastAsia="zh-TW"/>
        </w:rPr>
        <w:t>板块</w:t>
      </w:r>
      <w:r>
        <w:rPr>
          <w:rFonts w:hint="eastAsia" w:hAnsi="宋体" w:eastAsia="宋体" w:cs="宋体"/>
          <w:b/>
          <w:bCs/>
          <w:color w:val="auto"/>
          <w:sz w:val="36"/>
          <w:szCs w:val="36"/>
          <w:highlight w:val="none"/>
          <w:lang w:val="zh-TW" w:eastAsia="zh-CN"/>
        </w:rPr>
        <w:t>保洁、</w:t>
      </w:r>
      <w:r>
        <w:rPr>
          <w:rFonts w:hint="eastAsia" w:hAnsi="宋体" w:eastAsia="宋体" w:cs="宋体"/>
          <w:b/>
          <w:bCs/>
          <w:color w:val="auto"/>
          <w:sz w:val="36"/>
          <w:szCs w:val="36"/>
          <w:highlight w:val="none"/>
          <w:lang w:val="en-US" w:eastAsia="zh-CN"/>
        </w:rPr>
        <w:t>绿化</w:t>
      </w:r>
      <w:r>
        <w:rPr>
          <w:rFonts w:hint="eastAsia" w:hAnsi="宋体" w:eastAsia="宋体" w:cs="宋体"/>
          <w:b/>
          <w:bCs/>
          <w:color w:val="auto"/>
          <w:sz w:val="36"/>
          <w:szCs w:val="36"/>
          <w:highlight w:val="none"/>
          <w:lang w:val="zh-TW" w:eastAsia="zh-TW"/>
        </w:rPr>
        <w:t>服务采购</w:t>
      </w:r>
    </w:p>
    <w:p>
      <w:pPr>
        <w:pStyle w:val="9"/>
        <w:ind w:right="105" w:firstLine="3614" w:firstLineChars="1000"/>
        <w:jc w:val="both"/>
        <w:rPr>
          <w:rFonts w:hAnsi="宋体" w:eastAsia="宋体" w:cs="宋体"/>
          <w:b/>
          <w:bCs/>
          <w:color w:val="auto"/>
          <w:sz w:val="36"/>
          <w:szCs w:val="36"/>
          <w:highlight w:val="none"/>
        </w:rPr>
      </w:pPr>
      <w:r>
        <w:rPr>
          <w:rFonts w:hint="eastAsia" w:hAnsi="宋体" w:eastAsia="宋体" w:cs="宋体"/>
          <w:b/>
          <w:bCs/>
          <w:color w:val="auto"/>
          <w:sz w:val="36"/>
          <w:szCs w:val="36"/>
          <w:highlight w:val="none"/>
          <w:lang w:val="zh-TW" w:eastAsia="zh-TW"/>
        </w:rPr>
        <w:t>（</w:t>
      </w:r>
      <w:r>
        <w:rPr>
          <w:rFonts w:hint="eastAsia" w:hAnsi="宋体" w:eastAsia="宋体" w:cs="宋体"/>
          <w:b/>
          <w:bCs/>
          <w:color w:val="auto"/>
          <w:sz w:val="36"/>
          <w:szCs w:val="36"/>
          <w:highlight w:val="none"/>
          <w:lang w:val="zh-TW" w:eastAsia="zh-CN"/>
        </w:rPr>
        <w:t>三标段</w:t>
      </w:r>
      <w:r>
        <w:rPr>
          <w:rFonts w:hint="eastAsia" w:hAnsi="宋体" w:eastAsia="宋体" w:cs="宋体"/>
          <w:b/>
          <w:bCs/>
          <w:color w:val="auto"/>
          <w:sz w:val="36"/>
          <w:szCs w:val="36"/>
          <w:highlight w:val="none"/>
          <w:lang w:val="zh-TW" w:eastAsia="zh-TW"/>
        </w:rPr>
        <w:t>）</w:t>
      </w:r>
    </w:p>
    <w:p>
      <w:pPr>
        <w:pStyle w:val="9"/>
        <w:ind w:right="105" w:firstLine="420"/>
        <w:rPr>
          <w:rFonts w:hAnsi="宋体" w:eastAsia="宋体" w:cs="宋体"/>
          <w:color w:val="auto"/>
          <w:highlight w:val="none"/>
        </w:rPr>
      </w:pPr>
    </w:p>
    <w:p>
      <w:pPr>
        <w:tabs>
          <w:tab w:val="left" w:pos="1425"/>
        </w:tabs>
        <w:ind w:right="105" w:firstLine="0" w:firstLineChars="0"/>
        <w:jc w:val="center"/>
        <w:rPr>
          <w:rFonts w:hAnsi="宋体" w:eastAsia="宋体" w:cs="宋体"/>
          <w:b/>
          <w:color w:val="auto"/>
          <w:sz w:val="96"/>
          <w:szCs w:val="96"/>
          <w:highlight w:val="none"/>
        </w:rPr>
      </w:pPr>
      <w:r>
        <w:rPr>
          <w:rFonts w:hint="eastAsia" w:hAnsi="宋体" w:eastAsia="宋体" w:cs="宋体"/>
          <w:b/>
          <w:color w:val="auto"/>
          <w:sz w:val="96"/>
          <w:szCs w:val="96"/>
          <w:highlight w:val="none"/>
        </w:rPr>
        <w:t>投 标 文 件</w:t>
      </w:r>
    </w:p>
    <w:p>
      <w:pPr>
        <w:tabs>
          <w:tab w:val="left" w:pos="1425"/>
        </w:tabs>
        <w:ind w:right="105" w:firstLine="0" w:firstLineChars="0"/>
        <w:jc w:val="center"/>
        <w:rPr>
          <w:rFonts w:hAnsi="宋体" w:eastAsia="宋体" w:cs="宋体"/>
          <w:color w:val="auto"/>
          <w:sz w:val="28"/>
          <w:highlight w:val="none"/>
        </w:rPr>
      </w:pPr>
      <w:r>
        <w:rPr>
          <w:rFonts w:hint="eastAsia" w:hAnsi="宋体" w:eastAsia="宋体" w:cs="宋体"/>
          <w:color w:val="auto"/>
          <w:sz w:val="28"/>
          <w:highlight w:val="none"/>
        </w:rPr>
        <w:t xml:space="preserve"> 资信部分（正本）</w:t>
      </w:r>
    </w:p>
    <w:p>
      <w:pPr>
        <w:tabs>
          <w:tab w:val="left" w:pos="1425"/>
        </w:tabs>
        <w:ind w:right="105" w:firstLine="560"/>
        <w:jc w:val="center"/>
        <w:rPr>
          <w:rFonts w:hAnsi="宋体" w:eastAsia="宋体" w:cs="宋体"/>
          <w:color w:val="auto"/>
          <w:sz w:val="28"/>
          <w:highlight w:val="none"/>
        </w:rPr>
      </w:pPr>
    </w:p>
    <w:p>
      <w:pPr>
        <w:tabs>
          <w:tab w:val="left" w:pos="1425"/>
        </w:tabs>
        <w:ind w:right="105" w:firstLine="560"/>
        <w:rPr>
          <w:rFonts w:hAnsi="宋体" w:eastAsia="宋体" w:cs="宋体"/>
          <w:color w:val="auto"/>
          <w:sz w:val="28"/>
          <w:highlight w:val="none"/>
        </w:rPr>
      </w:pPr>
    </w:p>
    <w:p>
      <w:pPr>
        <w:tabs>
          <w:tab w:val="left" w:pos="1425"/>
        </w:tabs>
        <w:ind w:right="105" w:firstLine="560"/>
        <w:rPr>
          <w:rFonts w:hAnsi="宋体" w:eastAsia="宋体" w:cs="宋体"/>
          <w:color w:val="auto"/>
          <w:sz w:val="28"/>
          <w:highlight w:val="none"/>
        </w:rPr>
      </w:pPr>
    </w:p>
    <w:p>
      <w:pPr>
        <w:tabs>
          <w:tab w:val="left" w:pos="1425"/>
        </w:tabs>
        <w:spacing w:line="480" w:lineRule="auto"/>
        <w:ind w:left="279" w:leftChars="82" w:right="105" w:firstLine="280" w:firstLineChars="100"/>
        <w:rPr>
          <w:rFonts w:hint="eastAsia" w:hAnsi="宋体" w:eastAsia="宋体" w:cs="宋体"/>
          <w:color w:val="auto"/>
          <w:sz w:val="28"/>
          <w:szCs w:val="28"/>
          <w:highlight w:val="none"/>
          <w:lang w:val="zh-TW" w:eastAsia="zh-TW"/>
        </w:rPr>
      </w:pPr>
      <w:r>
        <w:rPr>
          <w:rFonts w:hint="eastAsia" w:hAnsi="宋体" w:eastAsia="宋体" w:cs="宋体"/>
          <w:color w:val="auto"/>
          <w:sz w:val="28"/>
          <w:highlight w:val="none"/>
        </w:rPr>
        <w:t>项目</w:t>
      </w:r>
      <w:r>
        <w:rPr>
          <w:rFonts w:hint="eastAsia" w:hAnsi="宋体" w:eastAsia="宋体" w:cs="宋体"/>
          <w:snapToGrid w:val="0"/>
          <w:color w:val="auto"/>
          <w:sz w:val="28"/>
          <w:szCs w:val="28"/>
          <w:highlight w:val="none"/>
          <w:u w:val="none"/>
          <w:lang w:val="en-US" w:eastAsia="zh-CN"/>
        </w:rPr>
        <w:t>名称</w:t>
      </w:r>
      <w:r>
        <w:rPr>
          <w:rFonts w:hint="eastAsia" w:hAnsi="宋体" w:eastAsia="宋体" w:cs="宋体"/>
          <w:color w:val="auto"/>
          <w:sz w:val="28"/>
          <w:highlight w:val="none"/>
        </w:rPr>
        <w:t>：</w:t>
      </w:r>
      <w:r>
        <w:rPr>
          <w:rFonts w:hint="eastAsia" w:hAnsi="宋体" w:eastAsia="宋体" w:cs="宋体"/>
          <w:color w:val="auto"/>
          <w:sz w:val="28"/>
          <w:szCs w:val="28"/>
          <w:highlight w:val="none"/>
          <w:lang w:val="zh-TW" w:eastAsia="zh-TW"/>
        </w:rPr>
        <w:t>2025—2027年东辰集团</w:t>
      </w:r>
      <w:r>
        <w:rPr>
          <w:rFonts w:hint="eastAsia" w:hAnsi="宋体" w:eastAsia="宋体" w:cs="宋体"/>
          <w:color w:val="auto"/>
          <w:sz w:val="28"/>
          <w:szCs w:val="28"/>
          <w:highlight w:val="none"/>
          <w:lang w:val="en-US" w:eastAsia="zh-CN"/>
        </w:rPr>
        <w:t>物业</w:t>
      </w:r>
      <w:r>
        <w:rPr>
          <w:rFonts w:hint="eastAsia" w:hAnsi="宋体" w:eastAsia="宋体" w:cs="宋体"/>
          <w:color w:val="auto"/>
          <w:sz w:val="28"/>
          <w:szCs w:val="28"/>
          <w:highlight w:val="none"/>
          <w:lang w:val="zh-TW" w:eastAsia="zh-TW"/>
        </w:rPr>
        <w:t>板块</w:t>
      </w:r>
      <w:r>
        <w:rPr>
          <w:rFonts w:hint="eastAsia" w:hAnsi="宋体" w:eastAsia="宋体" w:cs="宋体"/>
          <w:color w:val="auto"/>
          <w:sz w:val="28"/>
          <w:szCs w:val="28"/>
          <w:highlight w:val="none"/>
          <w:lang w:val="zh-TW" w:eastAsia="zh-CN"/>
        </w:rPr>
        <w:t>保洁、</w:t>
      </w:r>
      <w:r>
        <w:rPr>
          <w:rFonts w:hint="eastAsia" w:hAnsi="宋体" w:eastAsia="宋体" w:cs="宋体"/>
          <w:color w:val="auto"/>
          <w:sz w:val="28"/>
          <w:szCs w:val="28"/>
          <w:highlight w:val="none"/>
          <w:lang w:val="en-US" w:eastAsia="zh-CN"/>
        </w:rPr>
        <w:t>绿化</w:t>
      </w:r>
      <w:r>
        <w:rPr>
          <w:rFonts w:hint="eastAsia" w:hAnsi="宋体" w:eastAsia="宋体" w:cs="宋体"/>
          <w:color w:val="auto"/>
          <w:sz w:val="28"/>
          <w:szCs w:val="28"/>
          <w:highlight w:val="none"/>
          <w:lang w:val="zh-TW" w:eastAsia="zh-TW"/>
        </w:rPr>
        <w:t>服务采购（</w:t>
      </w:r>
      <w:r>
        <w:rPr>
          <w:rFonts w:hint="eastAsia" w:hAnsi="宋体" w:eastAsia="宋体" w:cs="宋体"/>
          <w:color w:val="auto"/>
          <w:sz w:val="28"/>
          <w:szCs w:val="28"/>
          <w:highlight w:val="none"/>
          <w:lang w:val="zh-TW" w:eastAsia="zh-CN"/>
        </w:rPr>
        <w:t>三标段</w:t>
      </w:r>
      <w:r>
        <w:rPr>
          <w:rFonts w:hint="eastAsia" w:hAnsi="宋体" w:eastAsia="宋体" w:cs="宋体"/>
          <w:color w:val="auto"/>
          <w:sz w:val="28"/>
          <w:szCs w:val="28"/>
          <w:highlight w:val="none"/>
          <w:lang w:val="zh-TW" w:eastAsia="zh-TW"/>
        </w:rPr>
        <w:t>）</w:t>
      </w:r>
    </w:p>
    <w:p>
      <w:pPr>
        <w:tabs>
          <w:tab w:val="left" w:pos="1425"/>
        </w:tabs>
        <w:spacing w:line="480" w:lineRule="auto"/>
        <w:ind w:left="279" w:leftChars="82" w:right="105" w:firstLine="280" w:firstLineChars="100"/>
        <w:rPr>
          <w:rFonts w:hAnsi="宋体" w:eastAsia="宋体" w:cs="宋体"/>
          <w:color w:val="auto"/>
          <w:sz w:val="28"/>
          <w:highlight w:val="none"/>
        </w:rPr>
      </w:pPr>
      <w:r>
        <w:rPr>
          <w:rFonts w:hint="eastAsia" w:hAnsi="宋体" w:eastAsia="宋体" w:cs="宋体"/>
          <w:color w:val="auto"/>
          <w:sz w:val="28"/>
          <w:highlight w:val="none"/>
        </w:rPr>
        <w:t>投标文件内容：资信部分</w:t>
      </w:r>
    </w:p>
    <w:p>
      <w:pPr>
        <w:tabs>
          <w:tab w:val="left" w:pos="1425"/>
        </w:tabs>
        <w:spacing w:line="480" w:lineRule="auto"/>
        <w:ind w:right="105" w:firstLine="560"/>
        <w:rPr>
          <w:rFonts w:hAnsi="宋体" w:eastAsia="宋体" w:cs="宋体"/>
          <w:color w:val="auto"/>
          <w:sz w:val="28"/>
          <w:highlight w:val="none"/>
        </w:rPr>
      </w:pPr>
      <w:r>
        <w:rPr>
          <w:rFonts w:hint="eastAsia" w:hAnsi="宋体" w:eastAsia="宋体" w:cs="宋体"/>
          <w:color w:val="auto"/>
          <w:sz w:val="28"/>
          <w:highlight w:val="none"/>
        </w:rPr>
        <w:t>投标人（盖章）：</w:t>
      </w:r>
    </w:p>
    <w:p>
      <w:pPr>
        <w:tabs>
          <w:tab w:val="left" w:pos="1425"/>
        </w:tabs>
        <w:spacing w:line="480" w:lineRule="auto"/>
        <w:ind w:right="105" w:firstLine="560"/>
        <w:rPr>
          <w:rFonts w:hAnsi="宋体" w:eastAsia="宋体" w:cs="宋体"/>
          <w:color w:val="auto"/>
          <w:sz w:val="28"/>
          <w:highlight w:val="none"/>
        </w:rPr>
      </w:pPr>
      <w:r>
        <w:rPr>
          <w:rFonts w:hint="eastAsia" w:hAnsi="宋体" w:eastAsia="宋体" w:cs="宋体"/>
          <w:color w:val="auto"/>
          <w:sz w:val="28"/>
          <w:highlight w:val="none"/>
        </w:rPr>
        <w:t>法定代表人或委托代理人（签字或盖章）</w:t>
      </w: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pStyle w:val="9"/>
        <w:ind w:right="105" w:firstLine="420"/>
        <w:rPr>
          <w:rFonts w:hAnsi="宋体" w:eastAsia="宋体" w:cs="宋体"/>
          <w:color w:val="auto"/>
          <w:highlight w:val="none"/>
        </w:rPr>
      </w:pPr>
    </w:p>
    <w:p>
      <w:pPr>
        <w:ind w:right="105" w:firstLine="0" w:firstLineChars="0"/>
        <w:outlineLvl w:val="2"/>
        <w:rPr>
          <w:rFonts w:hint="eastAsia" w:hAnsi="宋体" w:eastAsia="宋体" w:cs="宋体"/>
          <w:bCs/>
          <w:color w:val="auto"/>
          <w:sz w:val="28"/>
          <w:szCs w:val="28"/>
          <w:highlight w:val="none"/>
        </w:rPr>
      </w:pPr>
    </w:p>
    <w:p>
      <w:pPr>
        <w:ind w:right="105" w:firstLine="0" w:firstLineChars="0"/>
        <w:outlineLvl w:val="2"/>
        <w:rPr>
          <w:rFonts w:hAnsi="宋体" w:eastAsia="宋体" w:cs="宋体"/>
          <w:bCs/>
          <w:color w:val="auto"/>
          <w:sz w:val="28"/>
          <w:szCs w:val="28"/>
          <w:highlight w:val="none"/>
        </w:rPr>
      </w:pPr>
      <w:bookmarkStart w:id="25" w:name="_Toc25914"/>
      <w:r>
        <w:rPr>
          <w:rFonts w:hint="eastAsia" w:hAnsi="宋体" w:eastAsia="宋体" w:cs="宋体"/>
          <w:bCs/>
          <w:color w:val="auto"/>
          <w:sz w:val="28"/>
          <w:szCs w:val="28"/>
          <w:highlight w:val="none"/>
        </w:rPr>
        <w:t>附件4：</w:t>
      </w:r>
      <w:bookmarkEnd w:id="25"/>
    </w:p>
    <w:p>
      <w:pPr>
        <w:tabs>
          <w:tab w:val="left" w:pos="945"/>
        </w:tabs>
        <w:ind w:right="105" w:firstLine="643"/>
        <w:jc w:val="center"/>
        <w:rPr>
          <w:color w:val="auto"/>
          <w:highlight w:val="none"/>
        </w:rPr>
      </w:pPr>
      <w:r>
        <w:rPr>
          <w:rFonts w:hint="eastAsia" w:hAnsi="宋体" w:eastAsia="宋体" w:cs="宋体"/>
          <w:b/>
          <w:bCs/>
          <w:snapToGrid w:val="0"/>
          <w:color w:val="auto"/>
          <w:sz w:val="32"/>
          <w:szCs w:val="32"/>
          <w:highlight w:val="none"/>
        </w:rPr>
        <w:t>投标函</w:t>
      </w:r>
    </w:p>
    <w:p>
      <w:pPr>
        <w:spacing w:beforeLines="50" w:afterLines="50" w:line="440" w:lineRule="exact"/>
        <w:ind w:right="105" w:firstLine="0" w:firstLineChars="0"/>
        <w:rPr>
          <w:rFonts w:hAnsi="宋体" w:eastAsia="宋体" w:cs="宋体"/>
          <w:color w:val="auto"/>
          <w:sz w:val="28"/>
          <w:szCs w:val="28"/>
          <w:highlight w:val="none"/>
        </w:rPr>
      </w:pPr>
      <w:r>
        <w:rPr>
          <w:rFonts w:hint="eastAsia" w:hAnsi="宋体" w:eastAsia="宋体" w:cs="宋体"/>
          <w:color w:val="auto"/>
          <w:sz w:val="28"/>
          <w:szCs w:val="28"/>
          <w:highlight w:val="none"/>
          <w:lang w:val="en-US" w:eastAsia="zh-CN"/>
        </w:rPr>
        <w:t>四川东辰集团（股份）有限公司</w:t>
      </w:r>
      <w:r>
        <w:rPr>
          <w:rFonts w:hint="eastAsia" w:hAnsi="宋体" w:eastAsia="宋体" w:cs="宋体"/>
          <w:color w:val="auto"/>
          <w:sz w:val="28"/>
          <w:szCs w:val="28"/>
          <w:highlight w:val="none"/>
        </w:rPr>
        <w:t>：</w:t>
      </w:r>
    </w:p>
    <w:p>
      <w:pPr>
        <w:spacing w:beforeLines="50" w:afterLines="50" w:line="440" w:lineRule="exact"/>
        <w:ind w:right="105"/>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我方全面研究了</w:t>
      </w:r>
      <w:r>
        <w:rPr>
          <w:rFonts w:hint="eastAsia" w:hAnsi="宋体" w:eastAsia="宋体" w:cs="宋体"/>
          <w:color w:val="auto"/>
          <w:sz w:val="28"/>
          <w:szCs w:val="28"/>
          <w:highlight w:val="none"/>
          <w:u w:val="single"/>
          <w:lang w:val="zh-TW" w:eastAsia="zh-TW"/>
        </w:rPr>
        <w:t>2025—2027年东辰集团</w:t>
      </w:r>
      <w:r>
        <w:rPr>
          <w:rFonts w:hint="eastAsia" w:hAnsi="宋体" w:eastAsia="宋体" w:cs="宋体"/>
          <w:color w:val="auto"/>
          <w:sz w:val="28"/>
          <w:szCs w:val="28"/>
          <w:highlight w:val="none"/>
          <w:u w:val="single"/>
          <w:lang w:val="en-US" w:eastAsia="zh-CN"/>
        </w:rPr>
        <w:t>物业</w:t>
      </w:r>
      <w:r>
        <w:rPr>
          <w:rFonts w:hint="eastAsia" w:hAnsi="宋体" w:eastAsia="宋体" w:cs="宋体"/>
          <w:color w:val="auto"/>
          <w:sz w:val="28"/>
          <w:szCs w:val="28"/>
          <w:highlight w:val="none"/>
          <w:u w:val="single"/>
          <w:lang w:val="zh-TW" w:eastAsia="zh-TW"/>
        </w:rPr>
        <w:t>板块</w:t>
      </w:r>
      <w:r>
        <w:rPr>
          <w:rFonts w:hint="eastAsia" w:hAnsi="宋体" w:eastAsia="宋体" w:cs="宋体"/>
          <w:color w:val="auto"/>
          <w:sz w:val="28"/>
          <w:szCs w:val="28"/>
          <w:highlight w:val="none"/>
          <w:u w:val="single"/>
          <w:lang w:val="zh-TW" w:eastAsia="zh-CN"/>
        </w:rPr>
        <w:t>保洁、</w:t>
      </w:r>
      <w:r>
        <w:rPr>
          <w:rFonts w:hint="eastAsia" w:hAnsi="宋体" w:eastAsia="宋体" w:cs="宋体"/>
          <w:color w:val="auto"/>
          <w:sz w:val="28"/>
          <w:szCs w:val="28"/>
          <w:highlight w:val="none"/>
          <w:u w:val="single"/>
          <w:lang w:val="en-US" w:eastAsia="zh-CN"/>
        </w:rPr>
        <w:t>绿化</w:t>
      </w:r>
      <w:r>
        <w:rPr>
          <w:rFonts w:hint="eastAsia" w:hAnsi="宋体" w:eastAsia="宋体" w:cs="宋体"/>
          <w:color w:val="auto"/>
          <w:sz w:val="28"/>
          <w:szCs w:val="28"/>
          <w:highlight w:val="none"/>
          <w:u w:val="single"/>
          <w:lang w:val="zh-TW" w:eastAsia="zh-TW"/>
        </w:rPr>
        <w:t>服务采购</w:t>
      </w:r>
      <w:r>
        <w:rPr>
          <w:rFonts w:hint="eastAsia" w:hAnsi="宋体" w:eastAsia="宋体" w:cs="宋体"/>
          <w:color w:val="auto"/>
          <w:sz w:val="28"/>
          <w:szCs w:val="28"/>
          <w:highlight w:val="none"/>
          <w:lang w:val="zh-TW" w:eastAsia="zh-TW"/>
        </w:rPr>
        <w:t>（</w:t>
      </w:r>
      <w:r>
        <w:rPr>
          <w:rFonts w:hint="eastAsia" w:hAnsi="宋体" w:eastAsia="宋体" w:cs="宋体"/>
          <w:color w:val="auto"/>
          <w:sz w:val="28"/>
          <w:szCs w:val="28"/>
          <w:highlight w:val="none"/>
          <w:lang w:val="zh-TW" w:eastAsia="zh-CN"/>
        </w:rPr>
        <w:t>三标段</w:t>
      </w:r>
      <w:r>
        <w:rPr>
          <w:rFonts w:hint="eastAsia" w:hAnsi="宋体" w:eastAsia="宋体" w:cs="宋体"/>
          <w:color w:val="auto"/>
          <w:sz w:val="28"/>
          <w:szCs w:val="28"/>
          <w:highlight w:val="none"/>
          <w:lang w:val="zh-TW" w:eastAsia="zh-TW"/>
        </w:rPr>
        <w:t>）</w:t>
      </w:r>
      <w:r>
        <w:rPr>
          <w:rFonts w:hint="eastAsia" w:hAnsi="宋体" w:eastAsia="宋体" w:cs="宋体"/>
          <w:color w:val="auto"/>
          <w:sz w:val="28"/>
          <w:szCs w:val="28"/>
          <w:highlight w:val="none"/>
          <w:u w:val="single"/>
          <w:lang w:val="en-US" w:eastAsia="zh-CN"/>
        </w:rPr>
        <w:t xml:space="preserve"> </w:t>
      </w:r>
      <w:r>
        <w:rPr>
          <w:rFonts w:hint="eastAsia" w:hAnsi="宋体" w:eastAsia="宋体" w:cs="宋体"/>
          <w:snapToGrid w:val="0"/>
          <w:color w:val="auto"/>
          <w:sz w:val="28"/>
          <w:szCs w:val="28"/>
          <w:highlight w:val="none"/>
        </w:rPr>
        <w:t>项目招标文件，决定参加贵单位组织的本项目投标活动。我方授权</w:t>
      </w:r>
      <w:r>
        <w:rPr>
          <w:rFonts w:hint="eastAsia" w:hAnsi="宋体" w:eastAsia="宋体" w:cs="宋体"/>
          <w:snapToGrid w:val="0"/>
          <w:color w:val="auto"/>
          <w:sz w:val="28"/>
          <w:szCs w:val="28"/>
          <w:highlight w:val="none"/>
          <w:u w:val="single"/>
          <w:lang w:val="en-US" w:eastAsia="zh-CN"/>
        </w:rPr>
        <w:t xml:space="preserve">        </w:t>
      </w:r>
      <w:r>
        <w:rPr>
          <w:rFonts w:hint="eastAsia" w:hAnsi="宋体" w:eastAsia="宋体" w:cs="宋体"/>
          <w:snapToGrid w:val="0"/>
          <w:color w:val="auto"/>
          <w:sz w:val="28"/>
          <w:szCs w:val="28"/>
          <w:highlight w:val="none"/>
        </w:rPr>
        <w:t>（姓名、职务</w:t>
      </w:r>
      <w:r>
        <w:rPr>
          <w:rFonts w:hint="eastAsia" w:hAnsi="宋体" w:eastAsia="宋体" w:cs="宋体"/>
          <w:snapToGrid w:val="0"/>
          <w:color w:val="auto"/>
          <w:sz w:val="28"/>
          <w:szCs w:val="28"/>
          <w:highlight w:val="none"/>
          <w:lang w:eastAsia="zh-CN"/>
        </w:rPr>
        <w:t>）</w:t>
      </w:r>
      <w:r>
        <w:rPr>
          <w:rFonts w:hint="eastAsia" w:hAnsi="宋体" w:eastAsia="宋体" w:cs="宋体"/>
          <w:snapToGrid w:val="0"/>
          <w:color w:val="auto"/>
          <w:sz w:val="28"/>
          <w:szCs w:val="28"/>
          <w:highlight w:val="none"/>
          <w:u w:val="single"/>
          <w:lang w:val="en-US" w:eastAsia="zh-CN"/>
        </w:rPr>
        <w:t xml:space="preserve">          </w:t>
      </w:r>
      <w:r>
        <w:rPr>
          <w:rFonts w:hint="eastAsia" w:hAnsi="宋体" w:eastAsia="宋体" w:cs="宋体"/>
          <w:snapToGrid w:val="0"/>
          <w:color w:val="auto"/>
          <w:sz w:val="28"/>
          <w:szCs w:val="28"/>
          <w:highlight w:val="none"/>
        </w:rPr>
        <w:t>代表我方（投标人名称）</w:t>
      </w:r>
      <w:r>
        <w:rPr>
          <w:rFonts w:hint="eastAsia" w:hAnsi="宋体" w:eastAsia="宋体" w:cs="宋体"/>
          <w:snapToGrid w:val="0"/>
          <w:color w:val="auto"/>
          <w:sz w:val="28"/>
          <w:szCs w:val="28"/>
          <w:highlight w:val="none"/>
          <w:u w:val="single"/>
          <w:lang w:val="en-US" w:eastAsia="zh-CN"/>
        </w:rPr>
        <w:t xml:space="preserve">           </w:t>
      </w:r>
      <w:r>
        <w:rPr>
          <w:rFonts w:hint="eastAsia" w:hAnsi="宋体" w:eastAsia="宋体" w:cs="宋体"/>
          <w:snapToGrid w:val="0"/>
          <w:color w:val="auto"/>
          <w:sz w:val="28"/>
          <w:szCs w:val="28"/>
          <w:highlight w:val="none"/>
          <w:u w:val="single"/>
        </w:rPr>
        <w:t xml:space="preserve"> </w:t>
      </w:r>
      <w:r>
        <w:rPr>
          <w:rFonts w:hint="eastAsia" w:hAnsi="宋体" w:eastAsia="宋体" w:cs="宋体"/>
          <w:snapToGrid w:val="0"/>
          <w:color w:val="auto"/>
          <w:sz w:val="28"/>
          <w:szCs w:val="28"/>
          <w:highlight w:val="none"/>
        </w:rPr>
        <w:t>全权处理本项目投标的有关事宜。</w:t>
      </w:r>
    </w:p>
    <w:p>
      <w:pPr>
        <w:spacing w:beforeLines="50" w:afterLines="50" w:line="440" w:lineRule="exact"/>
        <w:ind w:right="105" w:firstLine="280" w:firstLineChars="10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1、我方自愿按照招标文件规定的各项要求向招标人提供所需服务，项目包干总报价（含税）</w:t>
      </w:r>
      <w:r>
        <w:rPr>
          <w:rFonts w:hint="eastAsia" w:hAnsi="宋体" w:eastAsia="宋体" w:cs="宋体"/>
          <w:snapToGrid w:val="0"/>
          <w:color w:val="auto"/>
          <w:sz w:val="28"/>
          <w:szCs w:val="28"/>
          <w:highlight w:val="none"/>
          <w:u w:val="single"/>
          <w:lang w:val="en-US" w:eastAsia="zh-CN"/>
        </w:rPr>
        <w:t xml:space="preserve">        </w:t>
      </w:r>
      <w:r>
        <w:rPr>
          <w:rFonts w:hint="eastAsia" w:hAnsi="宋体" w:eastAsia="宋体" w:cs="宋体"/>
          <w:snapToGrid w:val="0"/>
          <w:color w:val="auto"/>
          <w:sz w:val="28"/>
          <w:szCs w:val="28"/>
          <w:highlight w:val="none"/>
        </w:rPr>
        <w:t>为万元（大写）</w:t>
      </w:r>
      <w:r>
        <w:rPr>
          <w:rFonts w:hint="eastAsia" w:hAnsi="宋体" w:eastAsia="宋体" w:cs="宋体"/>
          <w:snapToGrid w:val="0"/>
          <w:color w:val="auto"/>
          <w:sz w:val="28"/>
          <w:szCs w:val="28"/>
          <w:highlight w:val="none"/>
          <w:u w:val="single"/>
          <w:lang w:val="en-US" w:eastAsia="zh-CN"/>
        </w:rPr>
        <w:t xml:space="preserve">     </w:t>
      </w:r>
      <w:r>
        <w:rPr>
          <w:rFonts w:hint="eastAsia" w:hAnsi="宋体" w:eastAsia="宋体" w:cs="宋体"/>
          <w:snapToGrid w:val="0"/>
          <w:color w:val="auto"/>
          <w:sz w:val="28"/>
          <w:szCs w:val="28"/>
          <w:highlight w:val="none"/>
        </w:rPr>
        <w:t>。</w:t>
      </w:r>
    </w:p>
    <w:p>
      <w:pPr>
        <w:spacing w:beforeLines="50" w:afterLines="50" w:line="440" w:lineRule="exact"/>
        <w:ind w:right="105" w:firstLine="280" w:firstLineChars="10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2、一旦我方中标，我方将严格履行合同规定的责任和义务，保证按合同约定的时限完成项目。</w:t>
      </w:r>
    </w:p>
    <w:p>
      <w:pPr>
        <w:spacing w:beforeLines="50" w:afterLines="50" w:line="440" w:lineRule="exact"/>
        <w:ind w:right="105" w:firstLine="280" w:firstLineChars="10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3、我方为本项目提交投标文件正本 1份、副本</w:t>
      </w:r>
      <w:r>
        <w:rPr>
          <w:rFonts w:hint="eastAsia" w:hAnsi="宋体" w:eastAsia="宋体" w:cs="宋体"/>
          <w:snapToGrid w:val="0"/>
          <w:color w:val="auto"/>
          <w:sz w:val="28"/>
          <w:szCs w:val="28"/>
          <w:highlight w:val="none"/>
          <w:lang w:val="en-US" w:eastAsia="zh-CN"/>
        </w:rPr>
        <w:t>5</w:t>
      </w:r>
      <w:r>
        <w:rPr>
          <w:rFonts w:hint="eastAsia" w:hAnsi="宋体" w:eastAsia="宋体" w:cs="宋体"/>
          <w:snapToGrid w:val="0"/>
          <w:color w:val="auto"/>
          <w:sz w:val="28"/>
          <w:szCs w:val="28"/>
          <w:highlight w:val="none"/>
        </w:rPr>
        <w:t>份、电子文档1份（U盘）。</w:t>
      </w:r>
    </w:p>
    <w:p>
      <w:pPr>
        <w:spacing w:beforeLines="50" w:afterLines="50" w:line="440" w:lineRule="exact"/>
        <w:ind w:right="105" w:firstLine="280" w:firstLineChars="10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4、我方同意本次招标的投标有效期为 30天。</w:t>
      </w:r>
    </w:p>
    <w:p>
      <w:pPr>
        <w:spacing w:line="240" w:lineRule="auto"/>
        <w:ind w:right="105" w:firstLine="280" w:firstLineChars="10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5、我方愿意提供贵公司可能另外要求的，与投标有关的文件资料，并保证我方已提供和将要提供的文件资料是真实、准确的。</w:t>
      </w:r>
    </w:p>
    <w:p>
      <w:pPr>
        <w:spacing w:line="240" w:lineRule="auto"/>
        <w:ind w:left="279" w:leftChars="82" w:right="105" w:firstLine="0" w:firstLineChars="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6、我方完全理解招标人不一定将合同授予最低报价的投标人的行为。投标人名称：（盖单位公章）</w:t>
      </w:r>
    </w:p>
    <w:p>
      <w:pPr>
        <w:spacing w:line="240" w:lineRule="auto"/>
        <w:ind w:left="279" w:leftChars="82" w:right="105" w:firstLine="0" w:firstLineChars="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 xml:space="preserve">通讯地址：     </w:t>
      </w:r>
    </w:p>
    <w:p>
      <w:pPr>
        <w:spacing w:line="240" w:lineRule="auto"/>
        <w:ind w:left="279" w:leftChars="82" w:right="105" w:firstLine="0" w:firstLineChars="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邮政编码：</w:t>
      </w:r>
    </w:p>
    <w:p>
      <w:pPr>
        <w:spacing w:line="240" w:lineRule="auto"/>
        <w:ind w:left="279" w:leftChars="82" w:right="105" w:firstLine="0" w:firstLineChars="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 xml:space="preserve">联系电话：     </w:t>
      </w:r>
    </w:p>
    <w:p>
      <w:pPr>
        <w:spacing w:line="240" w:lineRule="auto"/>
        <w:ind w:left="279" w:leftChars="82" w:right="105" w:firstLine="0" w:firstLineChars="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 xml:space="preserve">传真：    </w:t>
      </w:r>
    </w:p>
    <w:p>
      <w:pPr>
        <w:spacing w:line="240" w:lineRule="auto"/>
        <w:ind w:left="279" w:leftChars="82" w:right="105" w:firstLine="0" w:firstLineChars="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法定代表人或授权代表：（签字）</w:t>
      </w:r>
    </w:p>
    <w:p>
      <w:pPr>
        <w:spacing w:line="240" w:lineRule="auto"/>
        <w:ind w:left="279" w:leftChars="82" w:right="105" w:firstLine="0" w:firstLineChars="0"/>
        <w:rPr>
          <w:rFonts w:hint="eastAsia"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日 期：  年  月  日</w:t>
      </w:r>
    </w:p>
    <w:p>
      <w:pPr>
        <w:spacing w:line="240" w:lineRule="auto"/>
        <w:ind w:left="279" w:leftChars="82" w:right="105" w:firstLine="0" w:firstLineChars="0"/>
        <w:rPr>
          <w:rFonts w:hint="eastAsia" w:hAnsi="宋体" w:eastAsia="宋体" w:cs="宋体"/>
          <w:bCs/>
          <w:color w:val="auto"/>
          <w:sz w:val="28"/>
          <w:szCs w:val="28"/>
          <w:highlight w:val="none"/>
        </w:rPr>
      </w:pPr>
    </w:p>
    <w:p>
      <w:pPr>
        <w:spacing w:line="240" w:lineRule="auto"/>
        <w:ind w:left="0" w:leftChars="0" w:right="105" w:firstLine="0" w:firstLineChars="0"/>
        <w:rPr>
          <w:rFonts w:hAnsi="宋体" w:eastAsia="宋体" w:cs="宋体"/>
          <w:bCs/>
          <w:color w:val="auto"/>
          <w:sz w:val="28"/>
          <w:szCs w:val="28"/>
          <w:highlight w:val="none"/>
        </w:rPr>
      </w:pPr>
      <w:r>
        <w:rPr>
          <w:rFonts w:hint="eastAsia" w:hAnsi="宋体" w:eastAsia="宋体" w:cs="宋体"/>
          <w:bCs/>
          <w:color w:val="auto"/>
          <w:sz w:val="28"/>
          <w:szCs w:val="28"/>
          <w:highlight w:val="none"/>
        </w:rPr>
        <w:t>附件5：</w:t>
      </w:r>
    </w:p>
    <w:p>
      <w:pPr>
        <w:pStyle w:val="29"/>
        <w:spacing w:line="440" w:lineRule="exact"/>
        <w:ind w:right="105" w:firstLine="452"/>
        <w:jc w:val="center"/>
        <w:rPr>
          <w:rFonts w:ascii="宋体" w:hAnsi="宋体" w:eastAsia="宋体" w:cs="宋体"/>
          <w:color w:val="auto"/>
          <w:spacing w:val="5"/>
          <w:sz w:val="26"/>
          <w:szCs w:val="26"/>
          <w:highlight w:val="none"/>
        </w:rPr>
      </w:pPr>
      <w:r>
        <w:rPr>
          <w:rFonts w:hint="eastAsia" w:ascii="宋体" w:hAnsi="宋体" w:eastAsia="宋体" w:cs="宋体"/>
          <w:b/>
          <w:bCs/>
          <w:color w:val="auto"/>
          <w:spacing w:val="5"/>
          <w:sz w:val="44"/>
          <w:szCs w:val="44"/>
          <w:highlight w:val="none"/>
        </w:rPr>
        <w:t>投  标 人 声 明</w:t>
      </w:r>
    </w:p>
    <w:p>
      <w:pPr>
        <w:pStyle w:val="29"/>
        <w:spacing w:line="440" w:lineRule="exact"/>
        <w:ind w:right="105" w:firstLine="540" w:firstLineChars="20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本投标人就参加</w:t>
      </w:r>
      <w:r>
        <w:rPr>
          <w:rFonts w:hint="eastAsia" w:hAnsi="宋体" w:eastAsia="宋体" w:cs="宋体"/>
          <w:color w:val="auto"/>
          <w:sz w:val="28"/>
          <w:szCs w:val="28"/>
          <w:highlight w:val="none"/>
          <w:u w:val="single"/>
          <w:lang w:val="zh-TW" w:eastAsia="zh-TW"/>
        </w:rPr>
        <w:t>2025—2027年东辰集团</w:t>
      </w:r>
      <w:r>
        <w:rPr>
          <w:rFonts w:hint="eastAsia" w:hAnsi="宋体" w:eastAsia="宋体" w:cs="宋体"/>
          <w:color w:val="auto"/>
          <w:sz w:val="28"/>
          <w:szCs w:val="28"/>
          <w:highlight w:val="none"/>
          <w:u w:val="single"/>
          <w:lang w:val="en-US" w:eastAsia="zh-CN"/>
        </w:rPr>
        <w:t>物业</w:t>
      </w:r>
      <w:r>
        <w:rPr>
          <w:rFonts w:hint="eastAsia" w:hAnsi="宋体" w:eastAsia="宋体" w:cs="宋体"/>
          <w:color w:val="auto"/>
          <w:sz w:val="28"/>
          <w:szCs w:val="28"/>
          <w:highlight w:val="none"/>
          <w:u w:val="single"/>
          <w:lang w:val="zh-TW" w:eastAsia="zh-TW"/>
        </w:rPr>
        <w:t>板块</w:t>
      </w:r>
      <w:r>
        <w:rPr>
          <w:rFonts w:hint="eastAsia" w:hAnsi="宋体" w:eastAsia="宋体" w:cs="宋体"/>
          <w:color w:val="auto"/>
          <w:sz w:val="28"/>
          <w:szCs w:val="28"/>
          <w:highlight w:val="none"/>
          <w:u w:val="single"/>
          <w:lang w:val="zh-TW" w:eastAsia="zh-CN"/>
        </w:rPr>
        <w:t>保洁、</w:t>
      </w:r>
      <w:r>
        <w:rPr>
          <w:rFonts w:hint="eastAsia" w:hAnsi="宋体" w:eastAsia="宋体" w:cs="宋体"/>
          <w:color w:val="auto"/>
          <w:sz w:val="28"/>
          <w:szCs w:val="28"/>
          <w:highlight w:val="none"/>
          <w:u w:val="single"/>
          <w:lang w:val="en-US" w:eastAsia="zh-CN"/>
        </w:rPr>
        <w:t>绿化</w:t>
      </w:r>
      <w:r>
        <w:rPr>
          <w:rFonts w:hint="eastAsia" w:hAnsi="宋体" w:eastAsia="宋体" w:cs="宋体"/>
          <w:color w:val="auto"/>
          <w:sz w:val="28"/>
          <w:szCs w:val="28"/>
          <w:highlight w:val="none"/>
          <w:u w:val="single"/>
          <w:lang w:val="zh-TW" w:eastAsia="zh-TW"/>
        </w:rPr>
        <w:t>服务采购</w:t>
      </w:r>
      <w:r>
        <w:rPr>
          <w:rFonts w:hint="eastAsia" w:hAnsi="宋体" w:eastAsia="宋体" w:cs="宋体"/>
          <w:color w:val="auto"/>
          <w:sz w:val="28"/>
          <w:szCs w:val="28"/>
          <w:highlight w:val="none"/>
          <w:lang w:val="zh-TW" w:eastAsia="zh-TW"/>
        </w:rPr>
        <w:t>（</w:t>
      </w:r>
      <w:r>
        <w:rPr>
          <w:rFonts w:hint="eastAsia" w:hAnsi="宋体" w:eastAsia="宋体" w:cs="宋体"/>
          <w:color w:val="auto"/>
          <w:sz w:val="28"/>
          <w:szCs w:val="28"/>
          <w:highlight w:val="none"/>
          <w:lang w:val="zh-TW" w:eastAsia="zh-CN"/>
        </w:rPr>
        <w:t>三标段</w:t>
      </w:r>
      <w:r>
        <w:rPr>
          <w:rFonts w:hint="eastAsia" w:hAnsi="宋体" w:eastAsia="宋体" w:cs="宋体"/>
          <w:color w:val="auto"/>
          <w:sz w:val="28"/>
          <w:szCs w:val="28"/>
          <w:highlight w:val="none"/>
          <w:lang w:val="zh-TW" w:eastAsia="zh-TW"/>
        </w:rPr>
        <w:t>）</w:t>
      </w:r>
      <w:r>
        <w:rPr>
          <w:rFonts w:hint="eastAsia" w:ascii="宋体" w:hAnsi="宋体" w:eastAsia="宋体" w:cs="宋体"/>
          <w:color w:val="auto"/>
          <w:spacing w:val="5"/>
          <w:sz w:val="26"/>
          <w:szCs w:val="26"/>
          <w:highlight w:val="none"/>
        </w:rPr>
        <w:t>投标，作如下声明：</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一、对提供的资质等级副本、营业执照副本及授权委托书等投标文件的真实性负责；</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二、投标人具有承担招标人招标项目的供应能力，没有国家、地方或行业部门市场禁入的情况；</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三、投标人承诺报价不低于本企业成本价；</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四、在本项目投标过程中，投标人保证秉持独立、诚信、公正的原则，坚决杜绝串标、抬标等不良行为。</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五、投标人的负责人、员工或合伙人与本项目的设计、招标人不是合伙人；</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六、投标人未向招标人及其员工或第三人支付任何报酬或者其他以便促成投标人中标的任何情形发生；</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七、本次投标书的各项内容均属实，如有不实，愿承担相关法律责任，同时招标人可视情况终止投标人的投标资格，或取消中标。</w:t>
      </w:r>
    </w:p>
    <w:p>
      <w:pPr>
        <w:pStyle w:val="29"/>
        <w:spacing w:line="440" w:lineRule="exact"/>
        <w:ind w:right="105" w:firstLine="270"/>
        <w:rPr>
          <w:rFonts w:ascii="宋体" w:hAnsi="宋体" w:eastAsia="宋体" w:cs="宋体"/>
          <w:color w:val="auto"/>
          <w:spacing w:val="5"/>
          <w:sz w:val="26"/>
          <w:szCs w:val="26"/>
          <w:highlight w:val="none"/>
        </w:rPr>
      </w:pPr>
    </w:p>
    <w:p>
      <w:pPr>
        <w:pStyle w:val="29"/>
        <w:spacing w:line="440" w:lineRule="exact"/>
        <w:ind w:right="105" w:firstLine="270"/>
        <w:rPr>
          <w:rFonts w:ascii="宋体" w:hAnsi="宋体" w:eastAsia="宋体" w:cs="宋体"/>
          <w:color w:val="auto"/>
          <w:spacing w:val="5"/>
          <w:sz w:val="26"/>
          <w:szCs w:val="26"/>
          <w:highlight w:val="none"/>
        </w:rPr>
      </w:pPr>
    </w:p>
    <w:p>
      <w:pPr>
        <w:pStyle w:val="29"/>
        <w:spacing w:line="440" w:lineRule="exact"/>
        <w:ind w:right="105" w:firstLine="270"/>
        <w:rPr>
          <w:rFonts w:ascii="宋体" w:hAnsi="宋体" w:eastAsia="宋体" w:cs="宋体"/>
          <w:color w:val="auto"/>
          <w:spacing w:val="5"/>
          <w:sz w:val="26"/>
          <w:szCs w:val="26"/>
          <w:highlight w:val="none"/>
        </w:rPr>
      </w:pP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 xml:space="preserve">投标人名称：                        （盖章）      </w:t>
      </w: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法定代表人或授权委托人：            （签字或盖章）</w:t>
      </w:r>
    </w:p>
    <w:p>
      <w:pPr>
        <w:pStyle w:val="29"/>
        <w:spacing w:line="440" w:lineRule="exact"/>
        <w:ind w:right="105" w:firstLine="270"/>
        <w:rPr>
          <w:rFonts w:ascii="宋体" w:hAnsi="宋体" w:eastAsia="宋体" w:cs="宋体"/>
          <w:color w:val="auto"/>
          <w:spacing w:val="5"/>
          <w:sz w:val="26"/>
          <w:szCs w:val="26"/>
          <w:highlight w:val="none"/>
        </w:rPr>
      </w:pPr>
    </w:p>
    <w:p>
      <w:pPr>
        <w:pStyle w:val="29"/>
        <w:spacing w:line="440" w:lineRule="exact"/>
        <w:ind w:right="105" w:firstLine="270"/>
        <w:rPr>
          <w:rFonts w:ascii="宋体" w:hAnsi="宋体" w:eastAsia="宋体" w:cs="宋体"/>
          <w:color w:val="auto"/>
          <w:spacing w:val="5"/>
          <w:sz w:val="26"/>
          <w:szCs w:val="26"/>
          <w:highlight w:val="none"/>
        </w:rPr>
      </w:pPr>
    </w:p>
    <w:p>
      <w:pPr>
        <w:pStyle w:val="29"/>
        <w:spacing w:line="440" w:lineRule="exact"/>
        <w:ind w:right="105" w:firstLine="270"/>
        <w:rPr>
          <w:rFonts w:ascii="宋体" w:hAnsi="宋体" w:eastAsia="宋体" w:cs="宋体"/>
          <w:color w:val="auto"/>
          <w:spacing w:val="5"/>
          <w:sz w:val="26"/>
          <w:szCs w:val="26"/>
          <w:highlight w:val="none"/>
        </w:rPr>
      </w:pPr>
    </w:p>
    <w:p>
      <w:pPr>
        <w:pStyle w:val="29"/>
        <w:spacing w:line="440" w:lineRule="exact"/>
        <w:ind w:right="105" w:firstLine="270"/>
        <w:rPr>
          <w:rFonts w:ascii="宋体" w:hAnsi="宋体" w:eastAsia="宋体" w:cs="宋体"/>
          <w:color w:val="auto"/>
          <w:spacing w:val="5"/>
          <w:sz w:val="26"/>
          <w:szCs w:val="26"/>
          <w:highlight w:val="none"/>
        </w:rPr>
      </w:pPr>
      <w:r>
        <w:rPr>
          <w:rFonts w:hint="eastAsia" w:ascii="宋体" w:hAnsi="宋体" w:eastAsia="宋体" w:cs="宋体"/>
          <w:color w:val="auto"/>
          <w:spacing w:val="5"/>
          <w:sz w:val="26"/>
          <w:szCs w:val="26"/>
          <w:highlight w:val="none"/>
        </w:rPr>
        <w:t xml:space="preserve">   日期：     年    月    日</w:t>
      </w:r>
    </w:p>
    <w:p>
      <w:pPr>
        <w:ind w:left="0" w:leftChars="0" w:right="105" w:firstLine="0" w:firstLineChars="0"/>
        <w:rPr>
          <w:rFonts w:hAnsi="宋体" w:eastAsia="宋体" w:cs="宋体"/>
          <w:color w:val="auto"/>
          <w:sz w:val="28"/>
          <w:szCs w:val="28"/>
          <w:highlight w:val="none"/>
        </w:rPr>
      </w:pPr>
    </w:p>
    <w:p>
      <w:pPr>
        <w:ind w:left="0" w:leftChars="0" w:right="105" w:firstLine="0" w:firstLineChars="0"/>
        <w:rPr>
          <w:rFonts w:hAnsi="宋体" w:eastAsia="宋体" w:cs="宋体"/>
          <w:color w:val="auto"/>
          <w:sz w:val="28"/>
          <w:szCs w:val="28"/>
          <w:highlight w:val="none"/>
        </w:rPr>
      </w:pPr>
    </w:p>
    <w:p>
      <w:pPr>
        <w:ind w:left="0" w:leftChars="0" w:right="105" w:firstLine="0" w:firstLineChars="0"/>
        <w:rPr>
          <w:rFonts w:hAnsi="宋体" w:eastAsia="宋体" w:cs="宋体"/>
          <w:color w:val="auto"/>
          <w:sz w:val="28"/>
          <w:szCs w:val="28"/>
          <w:highlight w:val="none"/>
        </w:rPr>
      </w:pPr>
    </w:p>
    <w:p>
      <w:pPr>
        <w:ind w:right="105" w:firstLine="560"/>
        <w:rPr>
          <w:rFonts w:hAnsi="宋体" w:eastAsia="宋体" w:cs="宋体"/>
          <w:color w:val="auto"/>
          <w:sz w:val="28"/>
          <w:szCs w:val="28"/>
          <w:highlight w:val="none"/>
        </w:rPr>
      </w:pPr>
      <w:r>
        <w:rPr>
          <w:rFonts w:hint="eastAsia" w:hAnsi="宋体" w:eastAsia="宋体" w:cs="宋体"/>
          <w:color w:val="auto"/>
          <w:sz w:val="28"/>
          <w:szCs w:val="28"/>
          <w:highlight w:val="none"/>
        </w:rPr>
        <w:t>附件6：</w:t>
      </w:r>
    </w:p>
    <w:p>
      <w:pPr>
        <w:ind w:right="105" w:firstLine="643"/>
        <w:jc w:val="center"/>
        <w:outlineLvl w:val="2"/>
        <w:rPr>
          <w:rFonts w:hAnsi="宋体" w:eastAsia="宋体" w:cs="宋体"/>
          <w:b/>
          <w:color w:val="auto"/>
          <w:sz w:val="32"/>
          <w:szCs w:val="32"/>
          <w:highlight w:val="none"/>
        </w:rPr>
      </w:pPr>
      <w:bookmarkStart w:id="26" w:name="_Toc24876"/>
      <w:r>
        <w:rPr>
          <w:rFonts w:hint="eastAsia" w:hAnsi="宋体" w:eastAsia="宋体" w:cs="宋体"/>
          <w:b/>
          <w:color w:val="auto"/>
          <w:sz w:val="32"/>
          <w:szCs w:val="32"/>
          <w:highlight w:val="none"/>
        </w:rPr>
        <w:t>法定代表人授权委托书</w:t>
      </w:r>
      <w:bookmarkEnd w:id="26"/>
    </w:p>
    <w:p>
      <w:pPr>
        <w:spacing w:before="60" w:after="60"/>
        <w:ind w:right="105" w:firstLine="0" w:firstLineChars="0"/>
        <w:jc w:val="left"/>
        <w:rPr>
          <w:rFonts w:hAnsi="宋体" w:eastAsia="宋体" w:cs="宋体"/>
          <w:b/>
          <w:bCs/>
          <w:snapToGrid w:val="0"/>
          <w:color w:val="auto"/>
          <w:sz w:val="28"/>
          <w:szCs w:val="28"/>
          <w:highlight w:val="none"/>
        </w:rPr>
      </w:pPr>
      <w:r>
        <w:rPr>
          <w:rFonts w:hint="eastAsia" w:hAnsi="宋体" w:eastAsia="宋体" w:cs="宋体"/>
          <w:color w:val="auto"/>
          <w:sz w:val="28"/>
          <w:szCs w:val="28"/>
          <w:highlight w:val="none"/>
          <w:lang w:val="en-US" w:eastAsia="zh-CN"/>
        </w:rPr>
        <w:t>四川东辰集团（股份）有限公司</w:t>
      </w:r>
      <w:r>
        <w:rPr>
          <w:rFonts w:hint="eastAsia" w:hAnsi="宋体" w:eastAsia="宋体" w:cs="宋体"/>
          <w:b/>
          <w:bCs/>
          <w:snapToGrid w:val="0"/>
          <w:color w:val="auto"/>
          <w:sz w:val="28"/>
          <w:szCs w:val="28"/>
          <w:highlight w:val="none"/>
        </w:rPr>
        <w:t>：</w:t>
      </w:r>
    </w:p>
    <w:p>
      <w:pPr>
        <w:ind w:right="105" w:firstLine="560"/>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我方以公司或法定代表人身份授权为我司的全权代表，参加贵公司组织的</w:t>
      </w:r>
      <w:r>
        <w:rPr>
          <w:rFonts w:hint="eastAsia" w:hAnsi="宋体" w:eastAsia="宋体" w:cs="宋体"/>
          <w:color w:val="auto"/>
          <w:sz w:val="28"/>
          <w:szCs w:val="28"/>
          <w:highlight w:val="none"/>
          <w:u w:val="single"/>
          <w:lang w:val="zh-TW" w:eastAsia="zh-TW"/>
        </w:rPr>
        <w:t>2025—2027年东辰集团</w:t>
      </w:r>
      <w:r>
        <w:rPr>
          <w:rFonts w:hint="eastAsia" w:hAnsi="宋体" w:eastAsia="宋体" w:cs="宋体"/>
          <w:color w:val="auto"/>
          <w:sz w:val="28"/>
          <w:szCs w:val="28"/>
          <w:highlight w:val="none"/>
          <w:u w:val="single"/>
          <w:lang w:val="en-US" w:eastAsia="zh-CN"/>
        </w:rPr>
        <w:t>物业</w:t>
      </w:r>
      <w:r>
        <w:rPr>
          <w:rFonts w:hint="eastAsia" w:hAnsi="宋体" w:eastAsia="宋体" w:cs="宋体"/>
          <w:color w:val="auto"/>
          <w:sz w:val="28"/>
          <w:szCs w:val="28"/>
          <w:highlight w:val="none"/>
          <w:u w:val="single"/>
          <w:lang w:val="zh-TW" w:eastAsia="zh-TW"/>
        </w:rPr>
        <w:t>板块</w:t>
      </w:r>
      <w:r>
        <w:rPr>
          <w:rFonts w:hint="eastAsia" w:hAnsi="宋体" w:eastAsia="宋体" w:cs="宋体"/>
          <w:color w:val="auto"/>
          <w:sz w:val="28"/>
          <w:szCs w:val="28"/>
          <w:highlight w:val="none"/>
          <w:u w:val="single"/>
          <w:lang w:val="zh-TW" w:eastAsia="zh-CN"/>
        </w:rPr>
        <w:t>保洁、</w:t>
      </w:r>
      <w:r>
        <w:rPr>
          <w:rFonts w:hint="eastAsia" w:hAnsi="宋体" w:eastAsia="宋体" w:cs="宋体"/>
          <w:color w:val="auto"/>
          <w:sz w:val="28"/>
          <w:szCs w:val="28"/>
          <w:highlight w:val="none"/>
          <w:u w:val="single"/>
          <w:lang w:val="en-US" w:eastAsia="zh-CN"/>
        </w:rPr>
        <w:t>绿化</w:t>
      </w:r>
      <w:r>
        <w:rPr>
          <w:rFonts w:hint="eastAsia" w:hAnsi="宋体" w:eastAsia="宋体" w:cs="宋体"/>
          <w:color w:val="auto"/>
          <w:sz w:val="28"/>
          <w:szCs w:val="28"/>
          <w:highlight w:val="none"/>
          <w:u w:val="single"/>
          <w:lang w:val="zh-TW" w:eastAsia="zh-TW"/>
        </w:rPr>
        <w:t>服务采购</w:t>
      </w:r>
      <w:r>
        <w:rPr>
          <w:rFonts w:hint="eastAsia" w:hAnsi="宋体" w:eastAsia="宋体" w:cs="宋体"/>
          <w:color w:val="auto"/>
          <w:sz w:val="28"/>
          <w:szCs w:val="28"/>
          <w:highlight w:val="none"/>
          <w:lang w:val="zh-TW" w:eastAsia="zh-TW"/>
        </w:rPr>
        <w:t>（</w:t>
      </w:r>
      <w:r>
        <w:rPr>
          <w:rFonts w:hint="eastAsia" w:hAnsi="宋体" w:eastAsia="宋体" w:cs="宋体"/>
          <w:color w:val="auto"/>
          <w:sz w:val="28"/>
          <w:szCs w:val="28"/>
          <w:highlight w:val="none"/>
          <w:lang w:val="zh-TW" w:eastAsia="zh-CN"/>
        </w:rPr>
        <w:t>三标段</w:t>
      </w:r>
      <w:r>
        <w:rPr>
          <w:rFonts w:hint="eastAsia" w:hAnsi="宋体" w:eastAsia="宋体" w:cs="宋体"/>
          <w:color w:val="auto"/>
          <w:sz w:val="28"/>
          <w:szCs w:val="28"/>
          <w:highlight w:val="none"/>
          <w:lang w:val="zh-TW" w:eastAsia="zh-TW"/>
        </w:rPr>
        <w:t>）</w:t>
      </w:r>
      <w:r>
        <w:rPr>
          <w:rFonts w:hint="eastAsia" w:hAnsi="宋体" w:eastAsia="宋体" w:cs="宋体"/>
          <w:snapToGrid w:val="0"/>
          <w:color w:val="auto"/>
          <w:sz w:val="28"/>
          <w:szCs w:val="28"/>
          <w:highlight w:val="none"/>
        </w:rPr>
        <w:t>的投标，签署投标文件及其他书面文件，负责参加开标、询标、商务洽谈、签署合同及招标活动中的一切事宜。对被授权人的前述行为，我司均不可撤销地予以承认，并承担全部责任。</w:t>
      </w:r>
    </w:p>
    <w:p>
      <w:pPr>
        <w:spacing w:before="60" w:after="60"/>
        <w:ind w:right="105" w:firstLine="560"/>
        <w:jc w:val="left"/>
        <w:rPr>
          <w:rFonts w:hAnsi="宋体" w:eastAsia="宋体" w:cs="宋体"/>
          <w:snapToGrid w:val="0"/>
          <w:color w:val="auto"/>
          <w:sz w:val="28"/>
          <w:szCs w:val="28"/>
          <w:highlight w:val="none"/>
          <w:u w:val="single"/>
        </w:rPr>
      </w:pPr>
      <w:r>
        <w:rPr>
          <w:rFonts w:hint="eastAsia" w:hAnsi="宋体" w:eastAsia="宋体" w:cs="宋体"/>
          <w:snapToGrid w:val="0"/>
          <w:color w:val="auto"/>
          <w:sz w:val="28"/>
          <w:szCs w:val="28"/>
          <w:highlight w:val="none"/>
        </w:rPr>
        <w:t>法定代表人签字：</w:t>
      </w:r>
    </w:p>
    <w:p>
      <w:pPr>
        <w:spacing w:before="60" w:after="60"/>
        <w:ind w:right="105" w:firstLine="560"/>
        <w:jc w:val="left"/>
        <w:rPr>
          <w:rFonts w:hAnsi="宋体" w:eastAsia="宋体" w:cs="宋体"/>
          <w:snapToGrid w:val="0"/>
          <w:color w:val="auto"/>
          <w:sz w:val="28"/>
          <w:szCs w:val="28"/>
          <w:highlight w:val="none"/>
          <w:u w:val="single"/>
        </w:rPr>
      </w:pPr>
      <w:r>
        <w:rPr>
          <w:rFonts w:hint="eastAsia" w:hAnsi="宋体" w:eastAsia="宋体" w:cs="宋体"/>
          <w:snapToGrid w:val="0"/>
          <w:color w:val="auto"/>
          <w:sz w:val="28"/>
          <w:szCs w:val="28"/>
          <w:highlight w:val="none"/>
        </w:rPr>
        <w:t>投标单位全称（公章）：</w:t>
      </w:r>
    </w:p>
    <w:p>
      <w:pPr>
        <w:spacing w:before="60" w:after="60"/>
        <w:ind w:right="105" w:firstLine="560"/>
        <w:jc w:val="left"/>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日期：年月日</w:t>
      </w:r>
    </w:p>
    <w:p>
      <w:pPr>
        <w:spacing w:before="60" w:after="60"/>
        <w:ind w:right="105" w:firstLine="562"/>
        <w:jc w:val="left"/>
        <w:rPr>
          <w:rFonts w:hAnsi="宋体" w:eastAsia="宋体" w:cs="宋体"/>
          <w:b/>
          <w:bCs/>
          <w:snapToGrid w:val="0"/>
          <w:color w:val="auto"/>
          <w:sz w:val="28"/>
          <w:szCs w:val="28"/>
          <w:highlight w:val="none"/>
        </w:rPr>
      </w:pPr>
      <w:r>
        <w:rPr>
          <w:rFonts w:hint="eastAsia" w:hAnsi="宋体" w:eastAsia="宋体" w:cs="宋体"/>
          <w:b/>
          <w:bCs/>
          <w:snapToGrid w:val="0"/>
          <w:color w:val="auto"/>
          <w:sz w:val="28"/>
          <w:szCs w:val="28"/>
          <w:highlight w:val="none"/>
        </w:rPr>
        <w:t>附：授权代表信息</w:t>
      </w:r>
    </w:p>
    <w:p>
      <w:pPr>
        <w:spacing w:before="60" w:after="60"/>
        <w:ind w:right="105" w:firstLine="560"/>
        <w:jc w:val="left"/>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姓    名：</w:t>
      </w:r>
    </w:p>
    <w:p>
      <w:pPr>
        <w:adjustRightInd w:val="0"/>
        <w:snapToGrid w:val="0"/>
        <w:spacing w:before="100" w:beforeAutospacing="1" w:after="100" w:afterAutospacing="1"/>
        <w:ind w:right="105" w:firstLine="560"/>
        <w:jc w:val="left"/>
        <w:rPr>
          <w:rFonts w:hAnsi="宋体" w:eastAsia="宋体" w:cs="宋体"/>
          <w:snapToGrid w:val="0"/>
          <w:color w:val="auto"/>
          <w:sz w:val="28"/>
          <w:szCs w:val="28"/>
          <w:highlight w:val="none"/>
          <w:u w:val="single"/>
        </w:rPr>
      </w:pPr>
      <w:r>
        <w:rPr>
          <w:rFonts w:hint="eastAsia" w:hAnsi="宋体" w:eastAsia="宋体" w:cs="宋体"/>
          <w:snapToGrid w:val="0"/>
          <w:color w:val="auto"/>
          <w:sz w:val="28"/>
          <w:szCs w:val="28"/>
          <w:highlight w:val="none"/>
        </w:rPr>
        <w:t>身份证号：</w:t>
      </w:r>
    </w:p>
    <w:p>
      <w:pPr>
        <w:adjustRightInd w:val="0"/>
        <w:snapToGrid w:val="0"/>
        <w:spacing w:before="100" w:beforeAutospacing="1" w:after="100" w:afterAutospacing="1"/>
        <w:ind w:right="105" w:firstLine="560"/>
        <w:jc w:val="left"/>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职    务：</w:t>
      </w:r>
    </w:p>
    <w:p>
      <w:pPr>
        <w:adjustRightInd w:val="0"/>
        <w:snapToGrid w:val="0"/>
        <w:spacing w:before="100" w:beforeAutospacing="1" w:after="100" w:afterAutospacing="1"/>
        <w:ind w:right="105" w:firstLine="560"/>
        <w:jc w:val="left"/>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详细通信地址：</w:t>
      </w:r>
    </w:p>
    <w:p>
      <w:pPr>
        <w:adjustRightInd w:val="0"/>
        <w:snapToGrid w:val="0"/>
        <w:spacing w:before="100" w:beforeAutospacing="1" w:after="100" w:afterAutospacing="1"/>
        <w:ind w:right="105" w:firstLine="560"/>
        <w:jc w:val="left"/>
        <w:rPr>
          <w:rFonts w:hAnsi="宋体" w:eastAsia="宋体" w:cs="宋体"/>
          <w:snapToGrid w:val="0"/>
          <w:color w:val="auto"/>
          <w:sz w:val="28"/>
          <w:szCs w:val="28"/>
          <w:highlight w:val="none"/>
          <w:u w:val="single"/>
        </w:rPr>
      </w:pPr>
      <w:r>
        <w:rPr>
          <w:rFonts w:hint="eastAsia" w:hAnsi="宋体" w:eastAsia="宋体" w:cs="宋体"/>
          <w:snapToGrid w:val="0"/>
          <w:color w:val="auto"/>
          <w:sz w:val="28"/>
          <w:szCs w:val="28"/>
          <w:highlight w:val="none"/>
        </w:rPr>
        <w:t>邮    箱：</w:t>
      </w:r>
    </w:p>
    <w:p>
      <w:pPr>
        <w:adjustRightInd w:val="0"/>
        <w:snapToGrid w:val="0"/>
        <w:spacing w:before="100" w:beforeAutospacing="1" w:after="100" w:afterAutospacing="1"/>
        <w:ind w:right="105" w:firstLine="560"/>
        <w:jc w:val="left"/>
        <w:rPr>
          <w:rFonts w:hAnsi="宋体" w:eastAsia="宋体" w:cs="宋体"/>
          <w:snapToGrid w:val="0"/>
          <w:color w:val="auto"/>
          <w:sz w:val="28"/>
          <w:szCs w:val="28"/>
          <w:highlight w:val="none"/>
          <w:u w:val="single"/>
        </w:rPr>
      </w:pPr>
      <w:r>
        <w:rPr>
          <w:rFonts w:hint="eastAsia" w:hAnsi="宋体" w:eastAsia="宋体" w:cs="宋体"/>
          <w:snapToGrid w:val="0"/>
          <w:color w:val="auto"/>
          <w:sz w:val="28"/>
          <w:szCs w:val="28"/>
          <w:highlight w:val="none"/>
        </w:rPr>
        <w:t>电    话：</w:t>
      </w:r>
    </w:p>
    <w:p>
      <w:pPr>
        <w:ind w:right="105" w:firstLine="560"/>
        <w:rPr>
          <w:rFonts w:hAnsi="宋体" w:eastAsia="宋体" w:cs="宋体"/>
          <w:color w:val="auto"/>
          <w:highlight w:val="none"/>
        </w:rPr>
      </w:pPr>
      <w:r>
        <w:rPr>
          <w:rFonts w:hint="eastAsia" w:hAnsi="宋体" w:eastAsia="宋体" w:cs="宋体"/>
          <w:snapToGrid w:val="0"/>
          <w:color w:val="auto"/>
          <w:sz w:val="28"/>
          <w:szCs w:val="28"/>
          <w:highlight w:val="none"/>
        </w:rPr>
        <w:t>邮政编码：</w:t>
      </w:r>
    </w:p>
    <w:p>
      <w:pPr>
        <w:ind w:left="0" w:leftChars="0" w:right="105" w:firstLine="0" w:firstLineChars="0"/>
        <w:rPr>
          <w:rFonts w:hAnsi="宋体" w:eastAsia="宋体" w:cs="宋体"/>
          <w:bCs/>
          <w:color w:val="auto"/>
          <w:sz w:val="28"/>
          <w:szCs w:val="28"/>
          <w:highlight w:val="none"/>
        </w:rPr>
      </w:pPr>
    </w:p>
    <w:p>
      <w:pPr>
        <w:ind w:left="0" w:leftChars="0" w:right="105" w:firstLine="0" w:firstLineChars="0"/>
        <w:rPr>
          <w:rFonts w:hAnsi="宋体" w:eastAsia="宋体" w:cs="宋体"/>
          <w:bCs/>
          <w:color w:val="auto"/>
          <w:sz w:val="28"/>
          <w:szCs w:val="28"/>
          <w:highlight w:val="none"/>
        </w:rPr>
      </w:pPr>
    </w:p>
    <w:p>
      <w:pPr>
        <w:ind w:left="0" w:leftChars="0" w:right="105" w:firstLine="0" w:firstLineChars="0"/>
        <w:rPr>
          <w:rFonts w:hAnsi="宋体" w:eastAsia="宋体" w:cs="宋体"/>
          <w:bCs/>
          <w:color w:val="auto"/>
          <w:sz w:val="28"/>
          <w:szCs w:val="28"/>
          <w:highlight w:val="none"/>
        </w:rPr>
      </w:pPr>
    </w:p>
    <w:p>
      <w:pPr>
        <w:ind w:left="0" w:leftChars="0" w:right="105" w:firstLine="0" w:firstLineChars="0"/>
        <w:rPr>
          <w:rFonts w:hAnsi="宋体" w:eastAsia="宋体" w:cs="宋体"/>
          <w:bCs/>
          <w:color w:val="auto"/>
          <w:sz w:val="28"/>
          <w:szCs w:val="28"/>
          <w:highlight w:val="none"/>
        </w:rPr>
      </w:pPr>
    </w:p>
    <w:p>
      <w:pPr>
        <w:ind w:right="105" w:firstLine="560"/>
        <w:rPr>
          <w:rFonts w:hAnsi="宋体" w:eastAsia="宋体" w:cs="宋体"/>
          <w:b/>
          <w:color w:val="auto"/>
          <w:sz w:val="28"/>
          <w:szCs w:val="28"/>
          <w:highlight w:val="none"/>
        </w:rPr>
      </w:pPr>
      <w:r>
        <w:rPr>
          <w:rFonts w:hint="eastAsia" w:hAnsi="宋体" w:eastAsia="宋体" w:cs="宋体"/>
          <w:bCs/>
          <w:color w:val="auto"/>
          <w:sz w:val="28"/>
          <w:szCs w:val="28"/>
          <w:highlight w:val="none"/>
        </w:rPr>
        <w:t>附件7：</w:t>
      </w:r>
    </w:p>
    <w:p>
      <w:pPr>
        <w:ind w:right="105" w:firstLine="562"/>
        <w:jc w:val="center"/>
        <w:rPr>
          <w:rFonts w:hAnsi="宋体" w:eastAsia="宋体" w:cs="宋体"/>
          <w:b/>
          <w:color w:val="auto"/>
          <w:sz w:val="32"/>
          <w:szCs w:val="32"/>
          <w:highlight w:val="none"/>
        </w:rPr>
      </w:pPr>
      <w:r>
        <w:rPr>
          <w:rFonts w:hint="eastAsia" w:hAnsi="宋体" w:eastAsia="宋体" w:cs="宋体"/>
          <w:b/>
          <w:bCs/>
          <w:color w:val="auto"/>
          <w:sz w:val="28"/>
          <w:szCs w:val="28"/>
          <w:highlight w:val="none"/>
        </w:rPr>
        <w:t>四、</w:t>
      </w:r>
      <w:r>
        <w:rPr>
          <w:rFonts w:hint="eastAsia" w:hAnsi="宋体" w:eastAsia="宋体" w:cs="宋体"/>
          <w:b/>
          <w:color w:val="auto"/>
          <w:sz w:val="32"/>
          <w:szCs w:val="32"/>
          <w:highlight w:val="none"/>
        </w:rPr>
        <w:t>法定代表人身份证明书</w:t>
      </w:r>
    </w:p>
    <w:p>
      <w:pPr>
        <w:ind w:right="105" w:firstLine="560"/>
        <w:rPr>
          <w:rFonts w:hAnsi="宋体" w:eastAsia="宋体" w:cs="宋体"/>
          <w:color w:val="auto"/>
          <w:sz w:val="28"/>
          <w:szCs w:val="28"/>
          <w:highlight w:val="none"/>
        </w:rPr>
      </w:pPr>
    </w:p>
    <w:p>
      <w:pPr>
        <w:ind w:right="105" w:firstLine="560"/>
        <w:rPr>
          <w:rFonts w:hAnsi="宋体" w:eastAsia="宋体" w:cs="宋体"/>
          <w:color w:val="auto"/>
          <w:sz w:val="28"/>
          <w:szCs w:val="28"/>
          <w:highlight w:val="none"/>
        </w:rPr>
      </w:pPr>
      <w:r>
        <w:rPr>
          <w:rFonts w:hint="eastAsia" w:hAnsi="宋体" w:eastAsia="宋体" w:cs="宋体"/>
          <w:color w:val="auto"/>
          <w:sz w:val="28"/>
          <w:szCs w:val="28"/>
          <w:highlight w:val="none"/>
        </w:rPr>
        <w:t>姓名：性别：身份证号码：在我司任：职务，是我司的法定代表人。</w:t>
      </w:r>
    </w:p>
    <w:p>
      <w:pPr>
        <w:ind w:right="105" w:firstLine="560"/>
        <w:rPr>
          <w:rFonts w:hAnsi="宋体" w:eastAsia="宋体" w:cs="宋体"/>
          <w:color w:val="auto"/>
          <w:sz w:val="28"/>
          <w:szCs w:val="28"/>
          <w:highlight w:val="none"/>
        </w:rPr>
      </w:pPr>
    </w:p>
    <w:p>
      <w:pPr>
        <w:ind w:right="105" w:firstLine="560"/>
        <w:rPr>
          <w:rFonts w:hAnsi="宋体" w:eastAsia="宋体" w:cs="宋体"/>
          <w:color w:val="auto"/>
          <w:sz w:val="28"/>
          <w:szCs w:val="28"/>
          <w:highlight w:val="none"/>
        </w:rPr>
      </w:pPr>
      <w:r>
        <w:rPr>
          <w:rFonts w:hint="eastAsia" w:hAnsi="宋体" w:eastAsia="宋体" w:cs="宋体"/>
          <w:color w:val="auto"/>
          <w:sz w:val="28"/>
          <w:szCs w:val="28"/>
          <w:highlight w:val="none"/>
        </w:rPr>
        <w:t>特此证明！</w:t>
      </w:r>
    </w:p>
    <w:p>
      <w:pPr>
        <w:ind w:right="105" w:firstLine="4620" w:firstLineChars="1650"/>
        <w:rPr>
          <w:rFonts w:hAnsi="宋体" w:eastAsia="宋体" w:cs="宋体"/>
          <w:color w:val="auto"/>
          <w:sz w:val="28"/>
          <w:szCs w:val="28"/>
          <w:highlight w:val="none"/>
        </w:rPr>
      </w:pPr>
    </w:p>
    <w:p>
      <w:pPr>
        <w:ind w:right="105" w:firstLine="560"/>
        <w:rPr>
          <w:rFonts w:hAnsi="宋体" w:eastAsia="宋体" w:cs="宋体"/>
          <w:color w:val="auto"/>
          <w:sz w:val="28"/>
          <w:szCs w:val="28"/>
          <w:highlight w:val="none"/>
        </w:rPr>
      </w:pPr>
    </w:p>
    <w:p>
      <w:pPr>
        <w:ind w:right="105" w:firstLine="4760" w:firstLineChars="1700"/>
        <w:rPr>
          <w:rFonts w:hAnsi="宋体" w:eastAsia="宋体" w:cs="宋体"/>
          <w:color w:val="auto"/>
          <w:sz w:val="28"/>
          <w:szCs w:val="28"/>
          <w:highlight w:val="none"/>
        </w:rPr>
      </w:pPr>
      <w:r>
        <w:rPr>
          <w:rFonts w:hint="eastAsia" w:hAnsi="宋体" w:eastAsia="宋体" w:cs="宋体"/>
          <w:color w:val="auto"/>
          <w:sz w:val="28"/>
          <w:szCs w:val="28"/>
          <w:highlight w:val="none"/>
        </w:rPr>
        <w:t xml:space="preserve">投标单位（盖章）：         </w:t>
      </w:r>
    </w:p>
    <w:p>
      <w:pPr>
        <w:spacing w:before="60" w:after="60"/>
        <w:ind w:right="105" w:firstLine="4760" w:firstLineChars="1700"/>
        <w:jc w:val="left"/>
        <w:rPr>
          <w:rFonts w:hAnsi="宋体" w:eastAsia="宋体" w:cs="宋体"/>
          <w:snapToGrid w:val="0"/>
          <w:color w:val="auto"/>
          <w:sz w:val="28"/>
          <w:szCs w:val="28"/>
          <w:highlight w:val="none"/>
        </w:rPr>
      </w:pPr>
      <w:r>
        <w:rPr>
          <w:rFonts w:hint="eastAsia" w:hAnsi="宋体" w:eastAsia="宋体" w:cs="宋体"/>
          <w:snapToGrid w:val="0"/>
          <w:color w:val="auto"/>
          <w:sz w:val="28"/>
          <w:szCs w:val="28"/>
          <w:highlight w:val="none"/>
        </w:rPr>
        <w:t>日期：</w:t>
      </w:r>
      <w:r>
        <w:rPr>
          <w:rFonts w:hint="eastAsia" w:hAnsi="宋体" w:eastAsia="宋体" w:cs="宋体"/>
          <w:snapToGrid w:val="0"/>
          <w:color w:val="auto"/>
          <w:sz w:val="28"/>
          <w:szCs w:val="28"/>
          <w:highlight w:val="none"/>
          <w:lang w:val="en-US" w:eastAsia="zh-CN"/>
        </w:rPr>
        <w:t xml:space="preserve">  </w:t>
      </w:r>
      <w:r>
        <w:rPr>
          <w:rFonts w:hint="eastAsia" w:hAnsi="宋体" w:eastAsia="宋体" w:cs="宋体"/>
          <w:snapToGrid w:val="0"/>
          <w:color w:val="auto"/>
          <w:sz w:val="28"/>
          <w:szCs w:val="28"/>
          <w:highlight w:val="none"/>
        </w:rPr>
        <w:t>年</w:t>
      </w:r>
      <w:r>
        <w:rPr>
          <w:rFonts w:hint="eastAsia" w:hAnsi="宋体" w:eastAsia="宋体" w:cs="宋体"/>
          <w:snapToGrid w:val="0"/>
          <w:color w:val="auto"/>
          <w:sz w:val="28"/>
          <w:szCs w:val="28"/>
          <w:highlight w:val="none"/>
          <w:lang w:val="en-US" w:eastAsia="zh-CN"/>
        </w:rPr>
        <w:t xml:space="preserve">  </w:t>
      </w:r>
      <w:r>
        <w:rPr>
          <w:rFonts w:hint="eastAsia" w:hAnsi="宋体" w:eastAsia="宋体" w:cs="宋体"/>
          <w:snapToGrid w:val="0"/>
          <w:color w:val="auto"/>
          <w:sz w:val="28"/>
          <w:szCs w:val="28"/>
          <w:highlight w:val="none"/>
        </w:rPr>
        <w:t>月</w:t>
      </w:r>
      <w:r>
        <w:rPr>
          <w:rFonts w:hint="eastAsia" w:hAnsi="宋体" w:eastAsia="宋体" w:cs="宋体"/>
          <w:snapToGrid w:val="0"/>
          <w:color w:val="auto"/>
          <w:sz w:val="28"/>
          <w:szCs w:val="28"/>
          <w:highlight w:val="none"/>
          <w:lang w:val="en-US" w:eastAsia="zh-CN"/>
        </w:rPr>
        <w:t xml:space="preserve">  </w:t>
      </w:r>
      <w:r>
        <w:rPr>
          <w:rFonts w:hint="eastAsia" w:hAnsi="宋体" w:eastAsia="宋体" w:cs="宋体"/>
          <w:snapToGrid w:val="0"/>
          <w:color w:val="auto"/>
          <w:sz w:val="28"/>
          <w:szCs w:val="28"/>
          <w:highlight w:val="none"/>
        </w:rPr>
        <w:t>日</w:t>
      </w:r>
    </w:p>
    <w:p>
      <w:pPr>
        <w:ind w:right="105" w:firstLine="560"/>
        <w:rPr>
          <w:rFonts w:hAnsi="宋体" w:eastAsia="宋体" w:cs="宋体"/>
          <w:color w:val="auto"/>
          <w:sz w:val="28"/>
          <w:szCs w:val="28"/>
          <w:highlight w:val="none"/>
        </w:rPr>
      </w:pPr>
    </w:p>
    <w:p>
      <w:pPr>
        <w:ind w:right="105" w:firstLine="560"/>
        <w:rPr>
          <w:rFonts w:hAnsi="宋体" w:eastAsia="宋体" w:cs="宋体"/>
          <w:color w:val="auto"/>
          <w:sz w:val="28"/>
          <w:szCs w:val="28"/>
          <w:highlight w:val="none"/>
        </w:rPr>
      </w:pPr>
    </w:p>
    <w:p>
      <w:pPr>
        <w:ind w:right="105" w:firstLine="560"/>
        <w:rPr>
          <w:rFonts w:hAnsi="宋体" w:eastAsia="宋体" w:cs="宋体"/>
          <w:color w:val="auto"/>
          <w:sz w:val="28"/>
          <w:szCs w:val="28"/>
          <w:highlight w:val="none"/>
        </w:rPr>
      </w:pPr>
    </w:p>
    <w:p>
      <w:pPr>
        <w:ind w:right="105" w:firstLine="560"/>
        <w:rPr>
          <w:rFonts w:hAnsi="宋体" w:eastAsia="宋体" w:cs="宋体"/>
          <w:bCs/>
          <w:color w:val="auto"/>
          <w:sz w:val="28"/>
          <w:szCs w:val="28"/>
          <w:highlight w:val="none"/>
        </w:rPr>
      </w:pPr>
    </w:p>
    <w:p>
      <w:pPr>
        <w:ind w:right="105" w:firstLine="560"/>
        <w:rPr>
          <w:rFonts w:hAnsi="宋体" w:eastAsia="宋体" w:cs="宋体"/>
          <w:bCs/>
          <w:color w:val="auto"/>
          <w:sz w:val="28"/>
          <w:szCs w:val="28"/>
          <w:highlight w:val="none"/>
        </w:rPr>
      </w:pPr>
    </w:p>
    <w:p>
      <w:pPr>
        <w:ind w:right="105" w:firstLine="560"/>
        <w:rPr>
          <w:rFonts w:hAnsi="宋体" w:eastAsia="宋体" w:cs="宋体"/>
          <w:bCs/>
          <w:color w:val="auto"/>
          <w:sz w:val="28"/>
          <w:szCs w:val="28"/>
          <w:highlight w:val="none"/>
        </w:rPr>
      </w:pPr>
    </w:p>
    <w:p>
      <w:pPr>
        <w:ind w:right="105" w:firstLine="560"/>
        <w:rPr>
          <w:rFonts w:hAnsi="宋体" w:eastAsia="宋体" w:cs="宋体"/>
          <w:bCs/>
          <w:color w:val="auto"/>
          <w:sz w:val="28"/>
          <w:szCs w:val="28"/>
          <w:highlight w:val="none"/>
        </w:rPr>
      </w:pPr>
    </w:p>
    <w:p>
      <w:pPr>
        <w:ind w:right="105" w:firstLine="560"/>
        <w:rPr>
          <w:rFonts w:hAnsi="宋体" w:eastAsia="宋体" w:cs="宋体"/>
          <w:bCs/>
          <w:color w:val="auto"/>
          <w:sz w:val="28"/>
          <w:szCs w:val="28"/>
          <w:highlight w:val="none"/>
        </w:rPr>
      </w:pPr>
    </w:p>
    <w:p>
      <w:pPr>
        <w:ind w:right="105" w:firstLine="560"/>
        <w:rPr>
          <w:rFonts w:hAnsi="宋体" w:eastAsia="宋体" w:cs="宋体"/>
          <w:bCs/>
          <w:color w:val="auto"/>
          <w:sz w:val="28"/>
          <w:szCs w:val="28"/>
          <w:highlight w:val="none"/>
        </w:rPr>
      </w:pPr>
    </w:p>
    <w:p>
      <w:pPr>
        <w:ind w:right="105" w:firstLine="560"/>
        <w:rPr>
          <w:rFonts w:hAnsi="宋体" w:eastAsia="宋体" w:cs="宋体"/>
          <w:bCs/>
          <w:color w:val="auto"/>
          <w:sz w:val="28"/>
          <w:szCs w:val="28"/>
          <w:highlight w:val="none"/>
        </w:rPr>
      </w:pPr>
    </w:p>
    <w:p>
      <w:pPr>
        <w:pStyle w:val="2"/>
        <w:ind w:right="105"/>
        <w:rPr>
          <w:rFonts w:ascii="宋体" w:hAnsi="宋体" w:eastAsia="宋体" w:cs="宋体"/>
          <w:bCs/>
          <w:color w:val="auto"/>
          <w:sz w:val="28"/>
          <w:szCs w:val="28"/>
          <w:highlight w:val="none"/>
        </w:rPr>
      </w:pPr>
    </w:p>
    <w:p>
      <w:pPr>
        <w:tabs>
          <w:tab w:val="left" w:pos="945"/>
        </w:tabs>
        <w:ind w:left="0" w:leftChars="0" w:right="105" w:firstLine="0" w:firstLineChars="0"/>
        <w:rPr>
          <w:rFonts w:hAnsi="宋体" w:eastAsia="宋体" w:cs="宋体"/>
          <w:b/>
          <w:color w:val="auto"/>
          <w:sz w:val="28"/>
          <w:szCs w:val="28"/>
          <w:highlight w:val="none"/>
        </w:rPr>
      </w:pPr>
      <w:r>
        <w:rPr>
          <w:rFonts w:hint="eastAsia" w:hAnsi="宋体" w:eastAsia="宋体" w:cs="宋体"/>
          <w:b/>
          <w:color w:val="auto"/>
          <w:sz w:val="28"/>
          <w:szCs w:val="28"/>
          <w:highlight w:val="none"/>
        </w:rPr>
        <w:t>附件8</w:t>
      </w:r>
    </w:p>
    <w:p>
      <w:pPr>
        <w:tabs>
          <w:tab w:val="left" w:pos="945"/>
        </w:tabs>
        <w:ind w:right="105" w:firstLine="602"/>
        <w:jc w:val="center"/>
        <w:rPr>
          <w:rFonts w:hAnsi="宋体" w:eastAsia="宋体" w:cs="宋体"/>
          <w:b/>
          <w:color w:val="auto"/>
          <w:sz w:val="30"/>
          <w:highlight w:val="none"/>
        </w:rPr>
      </w:pPr>
      <w:r>
        <w:rPr>
          <w:rFonts w:hint="eastAsia" w:hAnsi="宋体" w:eastAsia="宋体" w:cs="宋体"/>
          <w:b/>
          <w:color w:val="auto"/>
          <w:sz w:val="30"/>
          <w:highlight w:val="none"/>
        </w:rPr>
        <w:t>拟派遣项目主管情况表</w:t>
      </w:r>
    </w:p>
    <w:p>
      <w:pPr>
        <w:tabs>
          <w:tab w:val="left" w:pos="945"/>
        </w:tabs>
        <w:ind w:right="105" w:firstLine="0" w:firstLineChars="0"/>
        <w:rPr>
          <w:rFonts w:hAnsi="宋体" w:eastAsia="宋体" w:cs="宋体"/>
          <w:color w:val="auto"/>
          <w:sz w:val="28"/>
          <w:highlight w:val="none"/>
        </w:rPr>
      </w:pPr>
      <w:r>
        <w:rPr>
          <w:rFonts w:hint="eastAsia" w:hAnsi="宋体" w:eastAsia="宋体" w:cs="宋体"/>
          <w:color w:val="auto"/>
          <w:sz w:val="28"/>
          <w:highlight w:val="none"/>
        </w:rPr>
        <w:t>拟担任职务：</w:t>
      </w:r>
    </w:p>
    <w:tbl>
      <w:tblPr>
        <w:tblStyle w:val="31"/>
        <w:tblW w:w="9472"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9472" w:type="dxa"/>
            <w:noWrap/>
          </w:tcPr>
          <w:p>
            <w:pPr>
              <w:tabs>
                <w:tab w:val="left" w:pos="945"/>
              </w:tabs>
              <w:ind w:right="105" w:firstLine="560"/>
              <w:rPr>
                <w:rFonts w:hAnsi="宋体" w:eastAsia="宋体" w:cs="宋体"/>
                <w:color w:val="auto"/>
                <w:sz w:val="28"/>
                <w:highlight w:val="none"/>
              </w:rPr>
            </w:pPr>
            <w:r>
              <w:rPr>
                <w:rFonts w:hint="eastAsia" w:hAnsi="宋体" w:eastAsia="宋体" w:cs="宋体"/>
                <w:color w:val="auto"/>
                <w:sz w:val="28"/>
                <w:highlight w:val="none"/>
              </w:rPr>
              <w:t>姓名：                 性别：       出生：   年    月     日</w:t>
            </w:r>
          </w:p>
          <w:p>
            <w:pPr>
              <w:tabs>
                <w:tab w:val="left" w:pos="945"/>
              </w:tabs>
              <w:ind w:right="105" w:firstLine="560"/>
              <w:rPr>
                <w:rFonts w:hAnsi="宋体" w:eastAsia="宋体" w:cs="宋体"/>
                <w:color w:val="auto"/>
                <w:sz w:val="28"/>
                <w:highlight w:val="none"/>
              </w:rPr>
            </w:pPr>
            <w:r>
              <w:rPr>
                <w:rFonts w:hint="eastAsia" w:hAnsi="宋体" w:eastAsia="宋体" w:cs="宋体"/>
                <w:color w:val="auto"/>
                <w:sz w:val="28"/>
                <w:highlight w:val="none"/>
              </w:rPr>
              <w:t>学历：                 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472" w:type="dxa"/>
            <w:noWrap/>
          </w:tcPr>
          <w:p>
            <w:pPr>
              <w:tabs>
                <w:tab w:val="left" w:pos="945"/>
              </w:tabs>
              <w:ind w:right="105" w:firstLine="560"/>
              <w:jc w:val="left"/>
              <w:rPr>
                <w:rFonts w:hAnsi="宋体" w:eastAsia="宋体" w:cs="宋体"/>
                <w:color w:val="auto"/>
                <w:sz w:val="28"/>
                <w:highlight w:val="none"/>
              </w:rPr>
            </w:pPr>
            <w:r>
              <w:rPr>
                <w:rFonts w:hint="eastAsia" w:hAnsi="宋体" w:eastAsia="宋体" w:cs="宋体"/>
                <w:color w:val="auto"/>
                <w:sz w:val="28"/>
                <w:highlight w:val="none"/>
              </w:rPr>
              <w:t>工作简历（业绩）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27" w:hRule="atLeast"/>
        </w:trPr>
        <w:tc>
          <w:tcPr>
            <w:tcW w:w="9472" w:type="dxa"/>
            <w:noWrap/>
          </w:tcPr>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480"/>
              <w:rPr>
                <w:rFonts w:hAnsi="宋体" w:eastAsia="宋体" w:cs="宋体"/>
                <w:color w:val="auto"/>
                <w:highlight w:val="none"/>
              </w:rPr>
            </w:pPr>
            <w:r>
              <w:rPr>
                <w:rFonts w:hint="eastAsia" w:hAnsi="宋体" w:eastAsia="宋体" w:cs="宋体"/>
                <w:color w:val="auto"/>
                <w:sz w:val="24"/>
                <w:szCs w:val="24"/>
                <w:highlight w:val="none"/>
              </w:rPr>
              <w:t>注：投标人须提供拟派往本项目的项目负责人的上岗证书、身份证复印件。</w:t>
            </w: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tabs>
                <w:tab w:val="left" w:pos="945"/>
              </w:tabs>
              <w:ind w:right="105" w:firstLine="680"/>
              <w:rPr>
                <w:rFonts w:hAnsi="宋体" w:eastAsia="宋体" w:cs="宋体"/>
                <w:color w:val="auto"/>
                <w:highlight w:val="none"/>
              </w:rPr>
            </w:pPr>
          </w:p>
          <w:p>
            <w:pPr>
              <w:pStyle w:val="8"/>
              <w:ind w:right="105"/>
              <w:rPr>
                <w:rFonts w:ascii="宋体" w:hAnsi="宋体" w:eastAsia="宋体" w:cs="宋体"/>
                <w:color w:val="auto"/>
                <w:highlight w:val="none"/>
              </w:rPr>
            </w:pPr>
          </w:p>
          <w:p>
            <w:pPr>
              <w:pStyle w:val="9"/>
              <w:ind w:right="105" w:firstLine="420"/>
              <w:rPr>
                <w:rFonts w:hAnsi="宋体" w:eastAsia="宋体" w:cs="宋体"/>
                <w:color w:val="auto"/>
                <w:highlight w:val="none"/>
              </w:rPr>
            </w:pPr>
          </w:p>
        </w:tc>
      </w:tr>
    </w:tbl>
    <w:p>
      <w:pPr>
        <w:tabs>
          <w:tab w:val="left" w:pos="945"/>
        </w:tabs>
        <w:ind w:right="105" w:firstLine="560"/>
        <w:jc w:val="right"/>
        <w:rPr>
          <w:rFonts w:hAnsi="宋体" w:eastAsia="宋体" w:cs="宋体"/>
          <w:color w:val="auto"/>
          <w:sz w:val="28"/>
          <w:highlight w:val="none"/>
        </w:rPr>
      </w:pPr>
      <w:r>
        <w:rPr>
          <w:rFonts w:hint="eastAsia" w:hAnsi="宋体" w:eastAsia="宋体" w:cs="宋体"/>
          <w:color w:val="auto"/>
          <w:sz w:val="28"/>
          <w:highlight w:val="none"/>
        </w:rPr>
        <w:t>（此表可扩展）</w:t>
      </w:r>
    </w:p>
    <w:p>
      <w:pPr>
        <w:pStyle w:val="9"/>
        <w:ind w:right="105" w:firstLine="0" w:firstLineChars="0"/>
        <w:rPr>
          <w:rFonts w:hAnsi="宋体" w:eastAsia="宋体" w:cs="宋体"/>
          <w:color w:val="auto"/>
          <w:highlight w:val="none"/>
        </w:rPr>
      </w:pPr>
    </w:p>
    <w:p>
      <w:pPr>
        <w:pStyle w:val="9"/>
        <w:ind w:right="105" w:firstLine="0" w:firstLineChars="0"/>
        <w:rPr>
          <w:rFonts w:hAnsi="宋体" w:eastAsia="宋体" w:cs="宋体"/>
          <w:color w:val="auto"/>
          <w:highlight w:val="none"/>
        </w:rPr>
      </w:pPr>
    </w:p>
    <w:p>
      <w:pPr>
        <w:ind w:left="0" w:leftChars="0" w:right="105" w:firstLine="0" w:firstLineChars="0"/>
        <w:rPr>
          <w:rFonts w:hint="eastAsia" w:hAnsi="宋体" w:eastAsia="宋体" w:cs="宋体"/>
          <w:bCs/>
          <w:color w:val="auto"/>
          <w:sz w:val="24"/>
          <w:szCs w:val="24"/>
          <w:highlight w:val="none"/>
        </w:rPr>
      </w:pPr>
    </w:p>
    <w:p>
      <w:pPr>
        <w:ind w:left="0" w:leftChars="0" w:right="105" w:firstLine="0" w:firstLineChars="0"/>
        <w:rPr>
          <w:rFonts w:hAnsi="宋体" w:eastAsia="宋体" w:cs="宋体"/>
          <w:b/>
          <w:color w:val="auto"/>
          <w:sz w:val="24"/>
          <w:szCs w:val="24"/>
          <w:highlight w:val="none"/>
        </w:rPr>
      </w:pPr>
      <w:r>
        <w:rPr>
          <w:rFonts w:hint="eastAsia" w:hAnsi="宋体" w:eastAsia="宋体" w:cs="宋体"/>
          <w:bCs/>
          <w:color w:val="auto"/>
          <w:sz w:val="24"/>
          <w:szCs w:val="24"/>
          <w:highlight w:val="none"/>
        </w:rPr>
        <w:t>附件9：</w:t>
      </w:r>
    </w:p>
    <w:p>
      <w:pPr>
        <w:widowControl/>
        <w:spacing w:afterLines="50" w:line="440" w:lineRule="exact"/>
        <w:ind w:right="105" w:firstLine="0" w:firstLineChars="0"/>
        <w:jc w:val="center"/>
        <w:rPr>
          <w:rFonts w:hAnsi="宋体" w:eastAsia="宋体" w:cs="宋体"/>
          <w:snapToGrid w:val="0"/>
          <w:color w:val="auto"/>
          <w:sz w:val="32"/>
          <w:szCs w:val="32"/>
          <w:highlight w:val="none"/>
          <w:u w:val="single"/>
        </w:rPr>
      </w:pPr>
      <w:r>
        <w:rPr>
          <w:rFonts w:hint="eastAsia" w:hAnsi="宋体" w:eastAsia="宋体" w:cs="宋体"/>
          <w:b/>
          <w:snapToGrid w:val="0"/>
          <w:color w:val="auto"/>
          <w:sz w:val="32"/>
          <w:szCs w:val="32"/>
          <w:highlight w:val="none"/>
        </w:rPr>
        <w:t>承诺函</w:t>
      </w:r>
    </w:p>
    <w:p>
      <w:pPr>
        <w:spacing w:before="60" w:after="60"/>
        <w:ind w:right="105" w:firstLine="0" w:firstLineChars="0"/>
        <w:jc w:val="left"/>
        <w:rPr>
          <w:rFonts w:hAnsi="宋体" w:eastAsia="宋体" w:cs="宋体"/>
          <w:b/>
          <w:bCs/>
          <w:snapToGrid w:val="0"/>
          <w:color w:val="auto"/>
          <w:sz w:val="24"/>
          <w:szCs w:val="24"/>
          <w:highlight w:val="none"/>
          <w:u w:val="single"/>
        </w:rPr>
      </w:pPr>
      <w:r>
        <w:rPr>
          <w:rFonts w:hint="eastAsia" w:hAnsi="宋体" w:eastAsia="宋体" w:cs="宋体"/>
          <w:b/>
          <w:bCs/>
          <w:snapToGrid w:val="0"/>
          <w:color w:val="auto"/>
          <w:sz w:val="24"/>
          <w:szCs w:val="24"/>
          <w:highlight w:val="none"/>
          <w:u w:val="single"/>
          <w:lang w:val="en-US" w:eastAsia="zh-CN"/>
        </w:rPr>
        <w:t>四川东辰集团（股份）有限公司</w:t>
      </w:r>
      <w:r>
        <w:rPr>
          <w:rFonts w:hint="eastAsia" w:hAnsi="宋体" w:eastAsia="宋体" w:cs="宋体"/>
          <w:b/>
          <w:bCs/>
          <w:snapToGrid w:val="0"/>
          <w:color w:val="auto"/>
          <w:sz w:val="24"/>
          <w:szCs w:val="24"/>
          <w:highlight w:val="none"/>
          <w:u w:val="single"/>
        </w:rPr>
        <w:t>：</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我公司作为本次采购项目的投标人，根据招标文件要求，现郑重承诺如下：</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一、具备本项目规定资格的条件，不存在禁止投标的情形：</w:t>
      </w:r>
    </w:p>
    <w:p>
      <w:pPr>
        <w:widowControl/>
        <w:spacing w:line="288" w:lineRule="auto"/>
        <w:ind w:right="105" w:firstLine="480"/>
        <w:jc w:val="left"/>
        <w:rPr>
          <w:rFonts w:hAnsi="宋体" w:eastAsia="宋体" w:cs="宋体"/>
          <w:color w:val="auto"/>
          <w:sz w:val="24"/>
          <w:szCs w:val="24"/>
          <w:highlight w:val="none"/>
        </w:rPr>
      </w:pPr>
      <w:r>
        <w:rPr>
          <w:rFonts w:hint="eastAsia" w:hAnsi="宋体" w:eastAsia="宋体" w:cs="宋体"/>
          <w:snapToGrid w:val="0"/>
          <w:color w:val="auto"/>
          <w:sz w:val="24"/>
          <w:szCs w:val="24"/>
          <w:highlight w:val="none"/>
        </w:rPr>
        <w:t xml:space="preserve">（一）具有独立承担民事责任的能力； </w:t>
      </w:r>
    </w:p>
    <w:p>
      <w:pPr>
        <w:widowControl/>
        <w:spacing w:line="288" w:lineRule="auto"/>
        <w:ind w:right="105" w:firstLine="480"/>
        <w:jc w:val="left"/>
        <w:rPr>
          <w:rFonts w:hAnsi="宋体" w:eastAsia="宋体" w:cs="宋体"/>
          <w:color w:val="auto"/>
          <w:sz w:val="24"/>
          <w:szCs w:val="24"/>
          <w:highlight w:val="none"/>
        </w:rPr>
      </w:pPr>
      <w:r>
        <w:rPr>
          <w:rFonts w:hint="eastAsia" w:hAnsi="宋体" w:eastAsia="宋体" w:cs="宋体"/>
          <w:snapToGrid w:val="0"/>
          <w:color w:val="auto"/>
          <w:sz w:val="24"/>
          <w:szCs w:val="24"/>
          <w:highlight w:val="none"/>
        </w:rPr>
        <w:t xml:space="preserve">（二）具有良好的商业信誉和健全的财务会计制度； </w:t>
      </w:r>
    </w:p>
    <w:p>
      <w:pPr>
        <w:widowControl/>
        <w:spacing w:line="288" w:lineRule="auto"/>
        <w:ind w:right="105" w:firstLine="480"/>
        <w:jc w:val="left"/>
        <w:rPr>
          <w:rFonts w:hAnsi="宋体" w:eastAsia="宋体" w:cs="宋体"/>
          <w:color w:val="auto"/>
          <w:sz w:val="24"/>
          <w:szCs w:val="24"/>
          <w:highlight w:val="none"/>
        </w:rPr>
      </w:pPr>
      <w:r>
        <w:rPr>
          <w:rFonts w:hint="eastAsia" w:hAnsi="宋体" w:eastAsia="宋体" w:cs="宋体"/>
          <w:snapToGrid w:val="0"/>
          <w:color w:val="auto"/>
          <w:sz w:val="24"/>
          <w:szCs w:val="24"/>
          <w:highlight w:val="none"/>
        </w:rPr>
        <w:t xml:space="preserve">（三）具有履行合同所必需的设备和专业技术能力； </w:t>
      </w:r>
    </w:p>
    <w:p>
      <w:pPr>
        <w:widowControl/>
        <w:spacing w:line="288" w:lineRule="auto"/>
        <w:ind w:right="105" w:firstLine="480"/>
        <w:jc w:val="left"/>
        <w:rPr>
          <w:rFonts w:hAnsi="宋体" w:eastAsia="宋体" w:cs="宋体"/>
          <w:color w:val="auto"/>
          <w:sz w:val="24"/>
          <w:szCs w:val="24"/>
          <w:highlight w:val="none"/>
        </w:rPr>
      </w:pPr>
      <w:r>
        <w:rPr>
          <w:rFonts w:hint="eastAsia" w:hAnsi="宋体" w:eastAsia="宋体" w:cs="宋体"/>
          <w:snapToGrid w:val="0"/>
          <w:color w:val="auto"/>
          <w:sz w:val="24"/>
          <w:szCs w:val="24"/>
          <w:highlight w:val="none"/>
        </w:rPr>
        <w:t xml:space="preserve">（四）具有依法缴纳税收和社会保障资金的良好记录； </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（五）参加采购活动前三年内，在经营活动中没有重大违法记录；</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（六）符合法律、行政法规规定的其他条件；</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（七）截止到本项目投标截止日，未处于行业单位的投标限制期内；</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（八）不存在本项目招标文件规定的其他禁止投标的情形。</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二、完全接受和满足本项目招标文件中规定的实质性要求，如对招标文件有异议，已经在投标截止时间届满前依法进行维权救济，不存在对招标文件有异议的同时又参加投标以求侥幸中标或者为实现其他非法目的的行为。</w:t>
      </w:r>
    </w:p>
    <w:p>
      <w:pPr>
        <w:autoSpaceDE w:val="0"/>
        <w:autoSpaceDN w:val="0"/>
        <w:adjustRightInd w:val="0"/>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 xml:space="preserve">三、参加本次招标采购活动，不存在和其他投标人在同一合同项下的采购项目中，同时委托同一个自然人、同一家庭的人员、同一单位的人员作为授权代表或投标人的行为。 </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四、投标文件中提供的任何材料资料和商务、技术、服务等响应承诺情况都是真实的、有效的、合法的。</w:t>
      </w:r>
    </w:p>
    <w:p>
      <w:pPr>
        <w:widowControl/>
        <w:spacing w:line="288" w:lineRule="auto"/>
        <w:ind w:right="105" w:firstLine="480"/>
        <w:jc w:val="lef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五、在投标以及合同履行过程中使用的任何产品和服务（包括部分使用），不会产生因第三方提出侵犯其专利权、商标权或其他知识产权而引起的法律和经济纠纷，如因专利权、商标权或其他知识产权而引起法律和经济纠纷，由我公司单方面承担所有相关责任。</w:t>
      </w:r>
    </w:p>
    <w:p>
      <w:pPr>
        <w:pStyle w:val="29"/>
        <w:spacing w:line="288" w:lineRule="auto"/>
        <w:ind w:right="105" w:firstLine="480" w:firstLineChars="200"/>
        <w:rPr>
          <w:rFonts w:ascii="宋体" w:hAnsi="宋体" w:eastAsia="宋体" w:cs="宋体"/>
          <w:color w:val="auto"/>
          <w:sz w:val="24"/>
          <w:highlight w:val="none"/>
        </w:rPr>
      </w:pPr>
      <w:r>
        <w:rPr>
          <w:rFonts w:hint="eastAsia" w:ascii="宋体" w:hAnsi="宋体" w:eastAsia="宋体" w:cs="宋体"/>
          <w:snapToGrid w:val="0"/>
          <w:color w:val="auto"/>
          <w:sz w:val="24"/>
          <w:highlight w:val="none"/>
        </w:rPr>
        <w:t>六、</w:t>
      </w:r>
      <w:r>
        <w:rPr>
          <w:rFonts w:ascii="宋体" w:hAnsi="宋体" w:eastAsia="宋体" w:cs="宋体"/>
          <w:color w:val="auto"/>
          <w:sz w:val="24"/>
          <w:highlight w:val="none"/>
        </w:rPr>
        <w:t>若被选定为中标方，无法按照报价承诺的服务和价格执行，或未在规定时间内签署正式合同，或坚持提出额外条件，招标</w:t>
      </w:r>
      <w:r>
        <w:rPr>
          <w:rFonts w:hint="eastAsia" w:ascii="宋体" w:hAnsi="宋体" w:eastAsia="宋体" w:cs="宋体"/>
          <w:color w:val="auto"/>
          <w:sz w:val="24"/>
          <w:highlight w:val="none"/>
        </w:rPr>
        <w:t>人</w:t>
      </w:r>
      <w:r>
        <w:rPr>
          <w:rFonts w:ascii="宋体" w:hAnsi="宋体" w:eastAsia="宋体" w:cs="宋体"/>
          <w:color w:val="auto"/>
          <w:sz w:val="24"/>
          <w:highlight w:val="none"/>
        </w:rPr>
        <w:t>有权选择其他中标单位，并追究责任。同时，赔偿因此给招标方造成的经济损失，赔偿金额为招标</w:t>
      </w:r>
      <w:r>
        <w:rPr>
          <w:rFonts w:hint="eastAsia" w:ascii="宋体" w:hAnsi="宋体" w:eastAsia="宋体" w:cs="宋体"/>
          <w:color w:val="auto"/>
          <w:sz w:val="24"/>
          <w:highlight w:val="none"/>
        </w:rPr>
        <w:t>人</w:t>
      </w:r>
      <w:r>
        <w:rPr>
          <w:rFonts w:ascii="宋体" w:hAnsi="宋体" w:eastAsia="宋体" w:cs="宋体"/>
          <w:color w:val="auto"/>
          <w:sz w:val="24"/>
          <w:highlight w:val="none"/>
        </w:rPr>
        <w:t>项目品名限价的5%。</w:t>
      </w:r>
    </w:p>
    <w:p>
      <w:pPr>
        <w:pStyle w:val="29"/>
        <w:spacing w:line="288" w:lineRule="auto"/>
        <w:ind w:right="105" w:firstLine="480" w:firstLineChars="200"/>
        <w:rPr>
          <w:rFonts w:ascii="宋体" w:hAnsi="宋体" w:eastAsia="宋体" w:cs="宋体"/>
          <w:color w:val="auto"/>
          <w:sz w:val="24"/>
          <w:highlight w:val="none"/>
        </w:rPr>
      </w:pPr>
      <w:r>
        <w:rPr>
          <w:rFonts w:ascii="宋体" w:hAnsi="宋体" w:eastAsia="宋体" w:cs="宋体"/>
          <w:color w:val="auto"/>
          <w:sz w:val="24"/>
          <w:highlight w:val="none"/>
        </w:rPr>
        <w:t>七、</w:t>
      </w:r>
      <w:r>
        <w:rPr>
          <w:rFonts w:hint="eastAsia" w:ascii="宋体" w:hAnsi="宋体" w:eastAsia="宋体" w:cs="宋体"/>
          <w:color w:val="auto"/>
          <w:sz w:val="24"/>
          <w:highlight w:val="none"/>
        </w:rPr>
        <w:t>每月</w:t>
      </w:r>
      <w:r>
        <w:rPr>
          <w:rFonts w:hint="eastAsia" w:ascii="宋体" w:hAnsi="宋体" w:eastAsia="宋体" w:cs="宋体"/>
          <w:color w:val="auto"/>
          <w:sz w:val="24"/>
          <w:highlight w:val="none"/>
          <w:lang w:eastAsia="zh-CN"/>
        </w:rPr>
        <w:t>保洁</w:t>
      </w:r>
      <w:r>
        <w:rPr>
          <w:rFonts w:ascii="宋体" w:hAnsi="宋体" w:eastAsia="宋体" w:cs="宋体"/>
          <w:color w:val="auto"/>
          <w:sz w:val="24"/>
          <w:highlight w:val="none"/>
        </w:rPr>
        <w:t>服务完成后，我方接受</w:t>
      </w:r>
      <w:r>
        <w:rPr>
          <w:rFonts w:hint="eastAsia" w:ascii="宋体" w:hAnsi="宋体" w:eastAsia="宋体" w:cs="宋体"/>
          <w:color w:val="auto"/>
          <w:sz w:val="24"/>
          <w:highlight w:val="none"/>
        </w:rPr>
        <w:t>招标</w:t>
      </w:r>
      <w:r>
        <w:rPr>
          <w:rFonts w:ascii="宋体" w:hAnsi="宋体" w:eastAsia="宋体" w:cs="宋体"/>
          <w:color w:val="auto"/>
          <w:sz w:val="24"/>
          <w:highlight w:val="none"/>
        </w:rPr>
        <w:t>方在</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lang w:eastAsia="zh-CN"/>
        </w:rPr>
        <w:t>天</w:t>
      </w:r>
      <w:r>
        <w:rPr>
          <w:rFonts w:ascii="宋体" w:hAnsi="宋体" w:eastAsia="宋体" w:cs="宋体"/>
          <w:color w:val="auto"/>
          <w:sz w:val="24"/>
          <w:highlight w:val="none"/>
        </w:rPr>
        <w:t>期限内支付相应费用</w:t>
      </w:r>
      <w:r>
        <w:rPr>
          <w:rFonts w:hint="eastAsia" w:ascii="宋体" w:hAnsi="宋体" w:eastAsia="宋体" w:cs="宋体"/>
          <w:color w:val="auto"/>
          <w:sz w:val="24"/>
          <w:highlight w:val="none"/>
        </w:rPr>
        <w:t>的约定</w:t>
      </w:r>
      <w:r>
        <w:rPr>
          <w:rFonts w:ascii="宋体" w:hAnsi="宋体" w:eastAsia="宋体" w:cs="宋体"/>
          <w:color w:val="auto"/>
          <w:sz w:val="24"/>
          <w:highlight w:val="none"/>
        </w:rPr>
        <w:t>。</w:t>
      </w:r>
    </w:p>
    <w:p>
      <w:pPr>
        <w:pStyle w:val="44"/>
        <w:spacing w:line="288" w:lineRule="auto"/>
        <w:ind w:firstLine="480" w:firstLineChars="200"/>
        <w:rPr>
          <w:rFonts w:ascii="宋体" w:hAnsi="宋体" w:eastAsia="宋体" w:cs="宋体"/>
          <w:color w:val="auto"/>
          <w:szCs w:val="24"/>
          <w:highlight w:val="none"/>
        </w:rPr>
      </w:pPr>
      <w:r>
        <w:rPr>
          <w:rFonts w:hint="eastAsia" w:ascii="宋体" w:hAnsi="宋体" w:eastAsia="宋体" w:cs="宋体"/>
          <w:snapToGrid w:val="0"/>
          <w:color w:val="auto"/>
          <w:szCs w:val="24"/>
          <w:highlight w:val="none"/>
        </w:rPr>
        <w:t>本公司对上述承诺的内容和事项真实性负责。如经查实上述承诺的内容和事项存在虚假，我公司愿意接受以提供虚假材料谋取中标追究法律责任。</w:t>
      </w:r>
    </w:p>
    <w:p>
      <w:pPr>
        <w:spacing w:beforeLines="50" w:line="288" w:lineRule="auto"/>
        <w:ind w:right="105" w:firstLine="480"/>
        <w:jc w:val="right"/>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投标人名称：       （盖单位公章）</w:t>
      </w:r>
    </w:p>
    <w:p>
      <w:pPr>
        <w:spacing w:line="288" w:lineRule="auto"/>
        <w:ind w:right="105" w:firstLine="4800" w:firstLineChars="2000"/>
        <w:rPr>
          <w:rFonts w:hAnsi="宋体" w:eastAsia="宋体" w:cs="宋体"/>
          <w:snapToGrid w:val="0"/>
          <w:color w:val="auto"/>
          <w:sz w:val="24"/>
          <w:szCs w:val="24"/>
          <w:highlight w:val="none"/>
        </w:rPr>
      </w:pPr>
      <w:r>
        <w:rPr>
          <w:rFonts w:hint="eastAsia" w:hAnsi="宋体" w:eastAsia="宋体" w:cs="宋体"/>
          <w:snapToGrid w:val="0"/>
          <w:color w:val="auto"/>
          <w:sz w:val="24"/>
          <w:szCs w:val="24"/>
          <w:highlight w:val="none"/>
        </w:rPr>
        <w:t xml:space="preserve">法定代表人或授权代表（签字）：           </w:t>
      </w:r>
    </w:p>
    <w:p>
      <w:pPr>
        <w:spacing w:line="288" w:lineRule="auto"/>
        <w:ind w:left="170" w:leftChars="50" w:right="105" w:firstLine="360" w:firstLineChars="150"/>
        <w:jc w:val="right"/>
        <w:rPr>
          <w:rFonts w:hAnsi="宋体" w:eastAsia="宋体" w:cs="宋体"/>
          <w:bCs/>
          <w:color w:val="auto"/>
          <w:sz w:val="28"/>
          <w:szCs w:val="28"/>
          <w:highlight w:val="none"/>
        </w:rPr>
      </w:pPr>
      <w:r>
        <w:rPr>
          <w:rFonts w:hint="eastAsia" w:hAnsi="宋体" w:eastAsia="宋体" w:cs="宋体"/>
          <w:snapToGrid w:val="0"/>
          <w:color w:val="auto"/>
          <w:sz w:val="24"/>
          <w:szCs w:val="24"/>
          <w:highlight w:val="none"/>
        </w:rPr>
        <w:t>日期：   年   月   日</w:t>
      </w:r>
    </w:p>
    <w:p>
      <w:pPr>
        <w:ind w:right="105"/>
        <w:rPr>
          <w:rFonts w:hint="eastAsia" w:hAnsi="宋体" w:eastAsia="宋体" w:cs="宋体"/>
          <w:bCs/>
          <w:color w:val="auto"/>
          <w:sz w:val="28"/>
          <w:szCs w:val="28"/>
          <w:highlight w:val="none"/>
        </w:rPr>
      </w:pPr>
    </w:p>
    <w:p>
      <w:pPr>
        <w:ind w:right="105"/>
        <w:rPr>
          <w:rFonts w:hint="eastAsia" w:hAnsi="宋体" w:eastAsia="宋体" w:cs="宋体"/>
          <w:bCs/>
          <w:color w:val="auto"/>
          <w:sz w:val="28"/>
          <w:szCs w:val="28"/>
          <w:highlight w:val="none"/>
        </w:rPr>
      </w:pPr>
    </w:p>
    <w:p>
      <w:pPr>
        <w:ind w:right="105"/>
        <w:rPr>
          <w:rFonts w:hint="eastAsia" w:hAnsi="宋体" w:eastAsia="宋体" w:cs="宋体"/>
          <w:bCs/>
          <w:color w:val="auto"/>
          <w:sz w:val="28"/>
          <w:szCs w:val="28"/>
          <w:highlight w:val="none"/>
        </w:rPr>
      </w:pPr>
    </w:p>
    <w:p>
      <w:pPr>
        <w:ind w:right="105"/>
        <w:rPr>
          <w:rFonts w:hAnsi="宋体" w:eastAsia="宋体" w:cs="宋体"/>
          <w:color w:val="auto"/>
          <w:sz w:val="28"/>
          <w:szCs w:val="28"/>
          <w:highlight w:val="none"/>
        </w:rPr>
      </w:pPr>
      <w:r>
        <w:rPr>
          <w:rFonts w:hint="eastAsia" w:hAnsi="宋体" w:eastAsia="宋体" w:cs="宋体"/>
          <w:bCs/>
          <w:color w:val="auto"/>
          <w:sz w:val="28"/>
          <w:szCs w:val="28"/>
          <w:highlight w:val="none"/>
        </w:rPr>
        <w:t>附件10：</w:t>
      </w:r>
    </w:p>
    <w:p>
      <w:pPr>
        <w:widowControl/>
        <w:spacing w:line="360" w:lineRule="atLeast"/>
        <w:ind w:right="105" w:firstLine="0" w:firstLineChars="0"/>
        <w:jc w:val="center"/>
        <w:rPr>
          <w:rFonts w:hAnsi="宋体" w:eastAsia="宋体" w:cs="宋体"/>
          <w:b/>
          <w:bCs/>
          <w:snapToGrid w:val="0"/>
          <w:color w:val="auto"/>
          <w:sz w:val="28"/>
          <w:szCs w:val="28"/>
          <w:highlight w:val="none"/>
        </w:rPr>
      </w:pPr>
      <w:r>
        <w:rPr>
          <w:rFonts w:hint="eastAsia" w:hAnsi="宋体" w:eastAsia="宋体" w:cs="宋体"/>
          <w:b/>
          <w:bCs/>
          <w:snapToGrid w:val="0"/>
          <w:color w:val="auto"/>
          <w:sz w:val="28"/>
          <w:szCs w:val="28"/>
          <w:highlight w:val="none"/>
        </w:rPr>
        <w:t>投标人类似业绩一览表</w:t>
      </w:r>
    </w:p>
    <w:p>
      <w:pPr>
        <w:pStyle w:val="44"/>
        <w:rPr>
          <w:rFonts w:ascii="宋体" w:hAnsi="宋体" w:eastAsia="宋体" w:cs="宋体"/>
          <w:color w:val="auto"/>
          <w:szCs w:val="24"/>
          <w:highlight w:val="none"/>
        </w:rPr>
      </w:pPr>
    </w:p>
    <w:tbl>
      <w:tblPr>
        <w:tblStyle w:val="31"/>
        <w:tblW w:w="10328" w:type="dxa"/>
        <w:jc w:val="center"/>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1197"/>
        <w:gridCol w:w="2103"/>
        <w:gridCol w:w="2053"/>
        <w:gridCol w:w="1641"/>
        <w:gridCol w:w="1414"/>
        <w:gridCol w:w="192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4" w:hRule="atLeast"/>
          <w:jc w:val="center"/>
        </w:trPr>
        <w:tc>
          <w:tcPr>
            <w:tcW w:w="1197" w:type="dxa"/>
            <w:tcBorders>
              <w:top w:val="single" w:color="auto" w:sz="4" w:space="0"/>
              <w:left w:val="single" w:color="auto" w:sz="4" w:space="0"/>
              <w:bottom w:val="single" w:color="auto" w:sz="6" w:space="0"/>
              <w:right w:val="single" w:color="auto" w:sz="6" w:space="0"/>
            </w:tcBorders>
            <w:noWrap/>
            <w:vAlign w:val="center"/>
          </w:tcPr>
          <w:p>
            <w:pPr>
              <w:spacing w:line="240" w:lineRule="auto"/>
              <w:ind w:right="105" w:firstLine="0" w:firstLineChars="0"/>
              <w:jc w:val="center"/>
              <w:rPr>
                <w:rFonts w:hAnsi="宋体" w:eastAsia="宋体" w:cs="宋体"/>
                <w:color w:val="auto"/>
                <w:sz w:val="24"/>
                <w:szCs w:val="24"/>
                <w:highlight w:val="none"/>
              </w:rPr>
            </w:pPr>
            <w:r>
              <w:rPr>
                <w:rFonts w:hint="eastAsia" w:hAnsi="宋体" w:eastAsia="宋体" w:cs="宋体"/>
                <w:color w:val="auto"/>
                <w:sz w:val="24"/>
                <w:szCs w:val="24"/>
                <w:highlight w:val="none"/>
              </w:rPr>
              <w:t>序号</w:t>
            </w:r>
          </w:p>
        </w:tc>
        <w:tc>
          <w:tcPr>
            <w:tcW w:w="2103" w:type="dxa"/>
            <w:tcBorders>
              <w:top w:val="single" w:color="auto" w:sz="4" w:space="0"/>
              <w:left w:val="single" w:color="auto" w:sz="4" w:space="0"/>
              <w:bottom w:val="single" w:color="auto" w:sz="6" w:space="0"/>
              <w:right w:val="single" w:color="auto" w:sz="6" w:space="0"/>
            </w:tcBorders>
            <w:noWrap/>
            <w:vAlign w:val="center"/>
          </w:tcPr>
          <w:p>
            <w:pPr>
              <w:spacing w:line="240" w:lineRule="auto"/>
              <w:ind w:right="105" w:firstLine="0" w:firstLineChars="0"/>
              <w:jc w:val="center"/>
              <w:rPr>
                <w:rFonts w:hAnsi="宋体" w:eastAsia="宋体" w:cs="宋体"/>
                <w:color w:val="auto"/>
                <w:sz w:val="24"/>
                <w:szCs w:val="24"/>
                <w:highlight w:val="none"/>
              </w:rPr>
            </w:pPr>
            <w:r>
              <w:rPr>
                <w:rFonts w:hint="eastAsia" w:hAnsi="宋体" w:eastAsia="宋体" w:cs="宋体"/>
                <w:color w:val="auto"/>
                <w:sz w:val="24"/>
                <w:szCs w:val="24"/>
                <w:highlight w:val="none"/>
              </w:rPr>
              <w:t>项目名称</w:t>
            </w:r>
          </w:p>
        </w:tc>
        <w:tc>
          <w:tcPr>
            <w:tcW w:w="2053" w:type="dxa"/>
            <w:tcBorders>
              <w:top w:val="single" w:color="auto" w:sz="4" w:space="0"/>
              <w:left w:val="single" w:color="auto" w:sz="6" w:space="0"/>
              <w:bottom w:val="single" w:color="auto" w:sz="6" w:space="0"/>
              <w:right w:val="single" w:color="auto" w:sz="6" w:space="0"/>
            </w:tcBorders>
            <w:noWrap/>
            <w:vAlign w:val="center"/>
          </w:tcPr>
          <w:p>
            <w:pPr>
              <w:spacing w:line="240" w:lineRule="auto"/>
              <w:ind w:right="105" w:firstLine="0" w:firstLineChars="0"/>
              <w:jc w:val="center"/>
              <w:rPr>
                <w:rFonts w:hAnsi="宋体" w:eastAsia="宋体" w:cs="宋体"/>
                <w:color w:val="auto"/>
                <w:sz w:val="24"/>
                <w:szCs w:val="24"/>
                <w:highlight w:val="none"/>
              </w:rPr>
            </w:pPr>
            <w:r>
              <w:rPr>
                <w:rFonts w:hint="eastAsia" w:hAnsi="宋体" w:eastAsia="宋体" w:cs="宋体"/>
                <w:color w:val="auto"/>
                <w:sz w:val="24"/>
                <w:highlight w:val="none"/>
              </w:rPr>
              <w:t>建筑面积（万M</w:t>
            </w:r>
            <w:r>
              <w:rPr>
                <w:rFonts w:hint="eastAsia" w:hAnsi="宋体" w:eastAsia="宋体" w:cs="宋体"/>
                <w:color w:val="auto"/>
                <w:sz w:val="24"/>
                <w:szCs w:val="24"/>
                <w:highlight w:val="none"/>
                <w:vertAlign w:val="superscript"/>
              </w:rPr>
              <w:t>2</w:t>
            </w:r>
            <w:r>
              <w:rPr>
                <w:rFonts w:hint="eastAsia" w:hAnsi="宋体" w:eastAsia="宋体" w:cs="宋体"/>
                <w:color w:val="auto"/>
                <w:sz w:val="24"/>
                <w:highlight w:val="none"/>
              </w:rPr>
              <w:t>）</w:t>
            </w:r>
          </w:p>
        </w:tc>
        <w:tc>
          <w:tcPr>
            <w:tcW w:w="1641" w:type="dxa"/>
            <w:tcBorders>
              <w:top w:val="single" w:color="auto" w:sz="4" w:space="0"/>
              <w:left w:val="single" w:color="auto" w:sz="6" w:space="0"/>
              <w:bottom w:val="single" w:color="auto" w:sz="6" w:space="0"/>
              <w:right w:val="single" w:color="auto" w:sz="6" w:space="0"/>
            </w:tcBorders>
            <w:noWrap/>
            <w:vAlign w:val="center"/>
          </w:tcPr>
          <w:p>
            <w:pPr>
              <w:spacing w:line="240" w:lineRule="auto"/>
              <w:ind w:right="105" w:firstLine="0" w:firstLineChars="0"/>
              <w:jc w:val="center"/>
              <w:rPr>
                <w:rFonts w:hAnsi="宋体" w:eastAsia="宋体" w:cs="宋体"/>
                <w:color w:val="auto"/>
                <w:sz w:val="24"/>
                <w:szCs w:val="24"/>
                <w:highlight w:val="none"/>
              </w:rPr>
            </w:pPr>
            <w:r>
              <w:rPr>
                <w:rFonts w:hint="eastAsia" w:hAnsi="宋体" w:eastAsia="宋体" w:cs="宋体"/>
                <w:color w:val="auto"/>
                <w:sz w:val="24"/>
                <w:szCs w:val="24"/>
                <w:highlight w:val="none"/>
              </w:rPr>
              <w:t>承接时间</w:t>
            </w:r>
          </w:p>
        </w:tc>
        <w:tc>
          <w:tcPr>
            <w:tcW w:w="1414" w:type="dxa"/>
            <w:tcBorders>
              <w:top w:val="single" w:color="auto" w:sz="4" w:space="0"/>
              <w:left w:val="single" w:color="auto" w:sz="6" w:space="0"/>
              <w:bottom w:val="single" w:color="auto" w:sz="6" w:space="0"/>
              <w:right w:val="single" w:color="auto" w:sz="6" w:space="0"/>
            </w:tcBorders>
            <w:noWrap/>
            <w:vAlign w:val="center"/>
          </w:tcPr>
          <w:p>
            <w:pPr>
              <w:spacing w:line="240" w:lineRule="auto"/>
              <w:ind w:right="105" w:firstLine="0" w:firstLineChars="0"/>
              <w:jc w:val="center"/>
              <w:rPr>
                <w:rFonts w:hAnsi="宋体" w:eastAsia="宋体" w:cs="宋体"/>
                <w:color w:val="auto"/>
                <w:sz w:val="24"/>
                <w:szCs w:val="24"/>
                <w:highlight w:val="none"/>
              </w:rPr>
            </w:pPr>
            <w:r>
              <w:rPr>
                <w:rFonts w:hint="eastAsia" w:hAnsi="宋体" w:eastAsia="宋体" w:cs="宋体"/>
                <w:color w:val="auto"/>
                <w:sz w:val="24"/>
                <w:szCs w:val="24"/>
                <w:highlight w:val="none"/>
              </w:rPr>
              <w:t>合同金额</w:t>
            </w:r>
          </w:p>
        </w:tc>
        <w:tc>
          <w:tcPr>
            <w:tcW w:w="1920" w:type="dxa"/>
            <w:tcBorders>
              <w:top w:val="single" w:color="auto" w:sz="4" w:space="0"/>
              <w:left w:val="single" w:color="auto" w:sz="4" w:space="0"/>
              <w:bottom w:val="single" w:color="auto" w:sz="6" w:space="0"/>
              <w:right w:val="single" w:color="auto" w:sz="4" w:space="0"/>
            </w:tcBorders>
            <w:noWrap/>
            <w:vAlign w:val="center"/>
          </w:tcPr>
          <w:p>
            <w:pPr>
              <w:spacing w:line="240" w:lineRule="auto"/>
              <w:ind w:right="105" w:firstLine="0" w:firstLineChars="0"/>
              <w:jc w:val="center"/>
              <w:rPr>
                <w:rFonts w:hAnsi="宋体" w:eastAsia="宋体" w:cs="宋体"/>
                <w:color w:val="auto"/>
                <w:sz w:val="24"/>
                <w:szCs w:val="24"/>
                <w:highlight w:val="none"/>
              </w:rPr>
            </w:pPr>
            <w:r>
              <w:rPr>
                <w:rFonts w:hint="eastAsia" w:hAnsi="宋体" w:eastAsia="宋体" w:cs="宋体"/>
                <w:color w:val="auto"/>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6" w:hRule="atLeast"/>
          <w:jc w:val="center"/>
        </w:trPr>
        <w:tc>
          <w:tcPr>
            <w:tcW w:w="1197"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6" w:space="0"/>
              <w:left w:val="single" w:color="auto" w:sz="4" w:space="0"/>
              <w:bottom w:val="single" w:color="auto" w:sz="6"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9" w:hRule="atLeast"/>
          <w:jc w:val="center"/>
        </w:trPr>
        <w:tc>
          <w:tcPr>
            <w:tcW w:w="1197"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6" w:space="0"/>
              <w:left w:val="single" w:color="auto" w:sz="4" w:space="0"/>
              <w:bottom w:val="single" w:color="auto" w:sz="6"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9" w:hRule="atLeast"/>
          <w:jc w:val="center"/>
        </w:trPr>
        <w:tc>
          <w:tcPr>
            <w:tcW w:w="1197"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6" w:space="0"/>
              <w:left w:val="single" w:color="auto" w:sz="4" w:space="0"/>
              <w:bottom w:val="single" w:color="auto" w:sz="6"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9" w:hRule="atLeast"/>
          <w:jc w:val="center"/>
        </w:trPr>
        <w:tc>
          <w:tcPr>
            <w:tcW w:w="1197"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6" w:space="0"/>
              <w:left w:val="single" w:color="auto" w:sz="4" w:space="0"/>
              <w:bottom w:val="single" w:color="auto" w:sz="6"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9" w:hRule="atLeast"/>
          <w:jc w:val="center"/>
        </w:trPr>
        <w:tc>
          <w:tcPr>
            <w:tcW w:w="1197"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c>
          <w:tcPr>
            <w:tcW w:w="2103"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c>
          <w:tcPr>
            <w:tcW w:w="2053"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c>
          <w:tcPr>
            <w:tcW w:w="1641"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c>
          <w:tcPr>
            <w:tcW w:w="1414"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c>
          <w:tcPr>
            <w:tcW w:w="1920"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9" w:hRule="atLeast"/>
          <w:jc w:val="center"/>
        </w:trPr>
        <w:tc>
          <w:tcPr>
            <w:tcW w:w="1197" w:type="dxa"/>
            <w:tcBorders>
              <w:top w:val="single" w:color="auto" w:sz="6" w:space="0"/>
              <w:left w:val="single" w:color="auto" w:sz="4" w:space="0"/>
              <w:bottom w:val="single" w:color="auto" w:sz="6" w:space="0"/>
              <w:right w:val="single" w:color="auto" w:sz="6" w:space="0"/>
            </w:tcBorders>
            <w:noWrap/>
            <w:vAlign w:val="center"/>
          </w:tcPr>
          <w:p>
            <w:pPr>
              <w:ind w:right="105" w:firstLine="480"/>
              <w:rPr>
                <w:rFonts w:hAnsi="宋体" w:eastAsia="宋体" w:cs="宋体"/>
                <w:color w:val="auto"/>
                <w:sz w:val="24"/>
                <w:szCs w:val="24"/>
                <w:highlight w:val="none"/>
              </w:rPr>
            </w:pPr>
          </w:p>
        </w:tc>
        <w:tc>
          <w:tcPr>
            <w:tcW w:w="2103" w:type="dxa"/>
            <w:tcBorders>
              <w:top w:val="single" w:color="auto" w:sz="6" w:space="0"/>
              <w:left w:val="single" w:color="auto" w:sz="4" w:space="0"/>
              <w:bottom w:val="single" w:color="auto" w:sz="6" w:space="0"/>
              <w:right w:val="single" w:color="auto" w:sz="6" w:space="0"/>
            </w:tcBorders>
            <w:noWrap/>
            <w:vAlign w:val="center"/>
          </w:tcPr>
          <w:p>
            <w:pPr>
              <w:ind w:right="105" w:firstLine="480"/>
              <w:rPr>
                <w:rFonts w:hAnsi="宋体" w:eastAsia="宋体" w:cs="宋体"/>
                <w:color w:val="auto"/>
                <w:sz w:val="24"/>
                <w:szCs w:val="24"/>
                <w:highlight w:val="none"/>
              </w:rPr>
            </w:pPr>
          </w:p>
        </w:tc>
        <w:tc>
          <w:tcPr>
            <w:tcW w:w="2053" w:type="dxa"/>
            <w:tcBorders>
              <w:top w:val="single" w:color="auto" w:sz="6" w:space="0"/>
              <w:left w:val="single" w:color="auto" w:sz="6" w:space="0"/>
              <w:bottom w:val="single" w:color="auto" w:sz="6" w:space="0"/>
              <w:right w:val="single" w:color="auto" w:sz="6" w:space="0"/>
            </w:tcBorders>
            <w:noWrap/>
            <w:vAlign w:val="center"/>
          </w:tcPr>
          <w:p>
            <w:pPr>
              <w:ind w:right="105" w:firstLine="480"/>
              <w:rPr>
                <w:rFonts w:hAnsi="宋体" w:eastAsia="宋体" w:cs="宋体"/>
                <w:color w:val="auto"/>
                <w:sz w:val="24"/>
                <w:szCs w:val="24"/>
                <w:highlight w:val="none"/>
              </w:rPr>
            </w:pPr>
          </w:p>
        </w:tc>
        <w:tc>
          <w:tcPr>
            <w:tcW w:w="1641" w:type="dxa"/>
            <w:tcBorders>
              <w:top w:val="single" w:color="auto" w:sz="6" w:space="0"/>
              <w:left w:val="single" w:color="auto" w:sz="6" w:space="0"/>
              <w:bottom w:val="single" w:color="auto" w:sz="6" w:space="0"/>
              <w:right w:val="single" w:color="auto" w:sz="6" w:space="0"/>
            </w:tcBorders>
            <w:noWrap/>
            <w:vAlign w:val="center"/>
          </w:tcPr>
          <w:p>
            <w:pPr>
              <w:ind w:right="105" w:firstLine="480"/>
              <w:rPr>
                <w:rFonts w:hAnsi="宋体" w:eastAsia="宋体" w:cs="宋体"/>
                <w:color w:val="auto"/>
                <w:sz w:val="24"/>
                <w:szCs w:val="24"/>
                <w:highlight w:val="none"/>
              </w:rPr>
            </w:pPr>
          </w:p>
        </w:tc>
        <w:tc>
          <w:tcPr>
            <w:tcW w:w="1414" w:type="dxa"/>
            <w:tcBorders>
              <w:top w:val="single" w:color="auto" w:sz="6" w:space="0"/>
              <w:left w:val="single" w:color="auto" w:sz="6"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c>
          <w:tcPr>
            <w:tcW w:w="1920"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520" w:hRule="atLeast"/>
          <w:jc w:val="center"/>
        </w:trPr>
        <w:tc>
          <w:tcPr>
            <w:tcW w:w="1197" w:type="dxa"/>
            <w:tcBorders>
              <w:top w:val="single" w:color="auto" w:sz="6"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6"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6"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6"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6" w:space="0"/>
              <w:left w:val="single" w:color="auto" w:sz="6"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6" w:space="0"/>
              <w:left w:val="single" w:color="auto" w:sz="4"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521" w:hRule="atLeast"/>
          <w:jc w:val="center"/>
        </w:trPr>
        <w:tc>
          <w:tcPr>
            <w:tcW w:w="1197"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4" w:space="0"/>
              <w:left w:val="single" w:color="auto" w:sz="6"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4" w:space="0"/>
              <w:left w:val="single" w:color="auto" w:sz="4"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562" w:hRule="atLeast"/>
          <w:jc w:val="center"/>
        </w:trPr>
        <w:tc>
          <w:tcPr>
            <w:tcW w:w="1197"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4" w:space="0"/>
              <w:left w:val="single" w:color="auto" w:sz="6"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4" w:space="0"/>
              <w:left w:val="single" w:color="auto" w:sz="4"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520" w:hRule="atLeast"/>
          <w:jc w:val="center"/>
        </w:trPr>
        <w:tc>
          <w:tcPr>
            <w:tcW w:w="1197"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4" w:space="0"/>
              <w:left w:val="single" w:color="auto" w:sz="6"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4" w:space="0"/>
              <w:left w:val="single" w:color="auto" w:sz="4"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451" w:hRule="atLeast"/>
          <w:jc w:val="center"/>
        </w:trPr>
        <w:tc>
          <w:tcPr>
            <w:tcW w:w="1197"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103"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2053"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641"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auto"/>
                <w:sz w:val="24"/>
                <w:szCs w:val="24"/>
                <w:highlight w:val="none"/>
              </w:rPr>
            </w:pPr>
          </w:p>
        </w:tc>
        <w:tc>
          <w:tcPr>
            <w:tcW w:w="1414" w:type="dxa"/>
            <w:tcBorders>
              <w:top w:val="single" w:color="auto" w:sz="4" w:space="0"/>
              <w:left w:val="single" w:color="auto" w:sz="6"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c>
          <w:tcPr>
            <w:tcW w:w="1920" w:type="dxa"/>
            <w:tcBorders>
              <w:top w:val="single" w:color="auto" w:sz="4" w:space="0"/>
              <w:left w:val="single" w:color="auto" w:sz="4" w:space="0"/>
              <w:bottom w:val="single" w:color="auto" w:sz="4" w:space="0"/>
              <w:right w:val="single" w:color="auto" w:sz="4" w:space="0"/>
            </w:tcBorders>
            <w:noWrap/>
            <w:vAlign w:val="center"/>
          </w:tcPr>
          <w:p>
            <w:pPr>
              <w:ind w:right="105" w:firstLine="480"/>
              <w:jc w:val="center"/>
              <w:rPr>
                <w:rFonts w:hAnsi="宋体" w:eastAsia="宋体" w:cs="宋体"/>
                <w:color w:val="auto"/>
                <w:sz w:val="24"/>
                <w:szCs w:val="24"/>
                <w:highlight w:val="none"/>
              </w:rPr>
            </w:pPr>
          </w:p>
        </w:tc>
      </w:tr>
    </w:tbl>
    <w:p>
      <w:pPr>
        <w:tabs>
          <w:tab w:val="left" w:pos="555"/>
          <w:tab w:val="left" w:pos="2214"/>
          <w:tab w:val="left" w:pos="3774"/>
          <w:tab w:val="left" w:pos="4854"/>
          <w:tab w:val="left" w:pos="5934"/>
          <w:tab w:val="left" w:pos="7014"/>
          <w:tab w:val="left" w:pos="8214"/>
          <w:tab w:val="left" w:pos="10134"/>
          <w:tab w:val="left" w:pos="11124"/>
        </w:tabs>
        <w:ind w:right="105" w:firstLine="482"/>
        <w:rPr>
          <w:rFonts w:hAnsi="宋体" w:eastAsia="宋体" w:cs="宋体"/>
          <w:b/>
          <w:color w:val="auto"/>
          <w:sz w:val="24"/>
          <w:szCs w:val="24"/>
          <w:highlight w:val="none"/>
        </w:rPr>
      </w:pPr>
      <w:r>
        <w:rPr>
          <w:rFonts w:hint="eastAsia" w:hAnsi="宋体" w:eastAsia="宋体" w:cs="宋体"/>
          <w:b/>
          <w:color w:val="auto"/>
          <w:sz w:val="24"/>
          <w:szCs w:val="24"/>
          <w:highlight w:val="none"/>
        </w:rPr>
        <w:t>注：</w:t>
      </w:r>
      <w:r>
        <w:rPr>
          <w:rFonts w:hint="eastAsia" w:hAnsi="宋体" w:eastAsia="宋体" w:cs="宋体"/>
          <w:color w:val="auto"/>
          <w:sz w:val="24"/>
          <w:szCs w:val="24"/>
          <w:highlight w:val="none"/>
        </w:rPr>
        <w:t>投标人（仅限于投标人自己实施的）以上类似项目需提供有关书面证明材料</w:t>
      </w:r>
      <w:r>
        <w:rPr>
          <w:rFonts w:hint="eastAsia" w:hAnsi="宋体" w:eastAsia="宋体" w:cs="宋体"/>
          <w:b/>
          <w:color w:val="auto"/>
          <w:sz w:val="24"/>
          <w:szCs w:val="24"/>
          <w:highlight w:val="none"/>
        </w:rPr>
        <w:t>。</w:t>
      </w:r>
    </w:p>
    <w:p>
      <w:pPr>
        <w:pStyle w:val="15"/>
        <w:ind w:right="105" w:firstLine="0" w:firstLineChars="0"/>
        <w:rPr>
          <w:rFonts w:ascii="宋体" w:hAnsi="宋体" w:eastAsia="宋体" w:cs="宋体"/>
          <w:bCs/>
          <w:snapToGrid w:val="0"/>
          <w:color w:val="auto"/>
          <w:sz w:val="28"/>
          <w:szCs w:val="28"/>
          <w:highlight w:val="none"/>
        </w:rPr>
      </w:pPr>
    </w:p>
    <w:p>
      <w:pPr>
        <w:pStyle w:val="15"/>
        <w:ind w:right="105" w:firstLine="0" w:firstLineChars="0"/>
        <w:rPr>
          <w:rFonts w:ascii="宋体" w:hAnsi="宋体" w:eastAsia="宋体" w:cs="宋体"/>
          <w:bCs/>
          <w:snapToGrid w:val="0"/>
          <w:color w:val="auto"/>
          <w:sz w:val="28"/>
          <w:szCs w:val="28"/>
          <w:highlight w:val="none"/>
        </w:rPr>
      </w:pPr>
    </w:p>
    <w:p>
      <w:pPr>
        <w:pStyle w:val="15"/>
        <w:ind w:left="732" w:leftChars="100" w:right="105" w:hanging="392" w:hangingChars="140"/>
        <w:rPr>
          <w:rFonts w:ascii="宋体" w:hAnsi="宋体" w:eastAsia="宋体" w:cs="宋体"/>
          <w:bCs/>
          <w:snapToGrid w:val="0"/>
          <w:color w:val="auto"/>
          <w:sz w:val="28"/>
          <w:szCs w:val="28"/>
          <w:highlight w:val="none"/>
        </w:rPr>
      </w:pPr>
      <w:r>
        <w:rPr>
          <w:rFonts w:hint="eastAsia" w:ascii="宋体" w:hAnsi="宋体" w:eastAsia="宋体" w:cs="宋体"/>
          <w:bCs/>
          <w:snapToGrid w:val="0"/>
          <w:color w:val="auto"/>
          <w:sz w:val="28"/>
          <w:szCs w:val="28"/>
          <w:highlight w:val="none"/>
        </w:rPr>
        <w:t>投标人名称：（盖单位公章）</w:t>
      </w:r>
    </w:p>
    <w:p>
      <w:pPr>
        <w:pStyle w:val="15"/>
        <w:ind w:left="732" w:leftChars="100" w:right="105" w:hanging="392" w:hangingChars="140"/>
        <w:rPr>
          <w:rFonts w:ascii="宋体" w:hAnsi="宋体" w:eastAsia="宋体" w:cs="宋体"/>
          <w:bCs/>
          <w:snapToGrid w:val="0"/>
          <w:color w:val="auto"/>
          <w:sz w:val="28"/>
          <w:szCs w:val="28"/>
          <w:highlight w:val="none"/>
          <w:u w:val="single"/>
        </w:rPr>
      </w:pPr>
      <w:r>
        <w:rPr>
          <w:rFonts w:hint="eastAsia" w:ascii="宋体" w:hAnsi="宋体" w:eastAsia="宋体" w:cs="宋体"/>
          <w:bCs/>
          <w:snapToGrid w:val="0"/>
          <w:color w:val="auto"/>
          <w:sz w:val="28"/>
          <w:szCs w:val="28"/>
          <w:highlight w:val="none"/>
        </w:rPr>
        <w:t>法定代表人或授权代表（签字）：</w:t>
      </w:r>
    </w:p>
    <w:p>
      <w:pPr>
        <w:pStyle w:val="15"/>
        <w:ind w:left="732" w:leftChars="100" w:right="105" w:hanging="392" w:hangingChars="140"/>
        <w:rPr>
          <w:rFonts w:ascii="宋体" w:hAnsi="宋体" w:eastAsia="宋体" w:cs="宋体"/>
          <w:bCs/>
          <w:snapToGrid w:val="0"/>
          <w:color w:val="auto"/>
          <w:sz w:val="28"/>
          <w:szCs w:val="28"/>
          <w:highlight w:val="none"/>
        </w:rPr>
      </w:pPr>
      <w:r>
        <w:rPr>
          <w:rFonts w:hint="eastAsia" w:ascii="宋体" w:hAnsi="宋体" w:eastAsia="宋体" w:cs="宋体"/>
          <w:bCs/>
          <w:snapToGrid w:val="0"/>
          <w:color w:val="auto"/>
          <w:sz w:val="28"/>
          <w:szCs w:val="28"/>
          <w:highlight w:val="none"/>
        </w:rPr>
        <w:t xml:space="preserve"> 日期：    年   月    日</w:t>
      </w:r>
    </w:p>
    <w:p>
      <w:pPr>
        <w:pStyle w:val="2"/>
        <w:ind w:right="105"/>
        <w:rPr>
          <w:rFonts w:ascii="宋体" w:hAnsi="宋体" w:eastAsia="宋体" w:cs="宋体"/>
          <w:color w:val="auto"/>
          <w:highlight w:val="none"/>
        </w:rPr>
      </w:pPr>
    </w:p>
    <w:p>
      <w:pPr>
        <w:ind w:right="105" w:firstLine="680"/>
        <w:rPr>
          <w:rFonts w:hAnsi="宋体" w:eastAsia="宋体" w:cs="宋体"/>
          <w:color w:val="auto"/>
          <w:highlight w:val="none"/>
        </w:rPr>
      </w:pPr>
    </w:p>
    <w:p>
      <w:pPr>
        <w:pStyle w:val="8"/>
        <w:ind w:right="105"/>
        <w:rPr>
          <w:rFonts w:ascii="宋体" w:hAnsi="宋体" w:eastAsia="宋体" w:cs="宋体"/>
          <w:color w:val="auto"/>
          <w:highlight w:val="none"/>
        </w:rPr>
      </w:pPr>
    </w:p>
    <w:p>
      <w:pPr>
        <w:rPr>
          <w:color w:val="auto"/>
          <w:highlight w:val="none"/>
        </w:rPr>
      </w:pPr>
    </w:p>
    <w:p>
      <w:pPr>
        <w:ind w:left="0" w:leftChars="0" w:firstLine="0" w:firstLineChars="0"/>
        <w:rPr>
          <w:rFonts w:hint="eastAsia" w:ascii="宋体" w:hAnsi="宋体" w:eastAsia="宋体" w:cs="宋体"/>
          <w:color w:val="auto"/>
          <w:sz w:val="28"/>
          <w:szCs w:val="28"/>
          <w:highlight w:val="none"/>
        </w:rPr>
      </w:pPr>
      <w:r>
        <w:rPr>
          <w:rFonts w:hint="eastAsia" w:ascii="宋体" w:hAnsi="宋体" w:eastAsia="宋体" w:cs="宋体"/>
          <w:bCs/>
          <w:color w:val="auto"/>
          <w:sz w:val="28"/>
          <w:szCs w:val="28"/>
          <w:highlight w:val="none"/>
        </w:rPr>
        <w:t>附件</w:t>
      </w:r>
      <w:r>
        <w:rPr>
          <w:rFonts w:hint="eastAsia" w:ascii="宋体" w:hAnsi="宋体" w:eastAsia="宋体" w:cs="宋体"/>
          <w:bCs/>
          <w:color w:val="auto"/>
          <w:sz w:val="28"/>
          <w:szCs w:val="28"/>
          <w:highlight w:val="none"/>
          <w:lang w:val="en-US" w:eastAsia="zh-CN"/>
        </w:rPr>
        <w:t>1</w:t>
      </w:r>
      <w:r>
        <w:rPr>
          <w:rFonts w:hint="eastAsia" w:hAnsi="宋体" w:eastAsia="宋体" w:cs="宋体"/>
          <w:bCs/>
          <w:color w:val="auto"/>
          <w:sz w:val="28"/>
          <w:szCs w:val="28"/>
          <w:highlight w:val="none"/>
          <w:lang w:val="en-US" w:eastAsia="zh-CN"/>
        </w:rPr>
        <w:t>1</w:t>
      </w:r>
      <w:r>
        <w:rPr>
          <w:rFonts w:hint="eastAsia" w:ascii="宋体" w:hAnsi="宋体" w:eastAsia="宋体" w:cs="宋体"/>
          <w:bCs/>
          <w:color w:val="auto"/>
          <w:sz w:val="28"/>
          <w:szCs w:val="28"/>
          <w:highlight w:val="none"/>
        </w:rPr>
        <w:t>：</w:t>
      </w:r>
    </w:p>
    <w:p>
      <w:pPr>
        <w:pStyle w:val="9"/>
        <w:rPr>
          <w:rFonts w:hint="eastAsia"/>
          <w:color w:val="auto"/>
          <w:highlight w:val="none"/>
        </w:rPr>
      </w:pPr>
    </w:p>
    <w:p>
      <w:pPr>
        <w:jc w:val="center"/>
        <w:outlineLvl w:val="9"/>
        <w:rPr>
          <w:rFonts w:hint="eastAsia" w:asciiTheme="majorEastAsia" w:hAnsiTheme="majorEastAsia" w:eastAsiaTheme="majorEastAsia" w:cstheme="majorEastAsia"/>
          <w:b/>
          <w:color w:val="auto"/>
          <w:sz w:val="28"/>
          <w:szCs w:val="28"/>
          <w:highlight w:val="none"/>
        </w:rPr>
      </w:pPr>
      <w:bookmarkStart w:id="27" w:name="_Toc19284"/>
      <w:bookmarkStart w:id="28" w:name="_Toc483580930"/>
      <w:r>
        <w:rPr>
          <w:rFonts w:hint="eastAsia" w:asciiTheme="majorEastAsia" w:hAnsiTheme="majorEastAsia" w:eastAsiaTheme="majorEastAsia" w:cstheme="majorEastAsia"/>
          <w:b/>
          <w:color w:val="auto"/>
          <w:sz w:val="28"/>
          <w:szCs w:val="28"/>
          <w:highlight w:val="none"/>
        </w:rPr>
        <w:t>投标保证金</w:t>
      </w:r>
      <w:bookmarkEnd w:id="27"/>
      <w:bookmarkEnd w:id="28"/>
    </w:p>
    <w:p>
      <w:pPr>
        <w:ind w:firstLine="480"/>
        <w:rPr>
          <w:rFonts w:asciiTheme="majorEastAsia" w:hAnsiTheme="majorEastAsia" w:eastAsiaTheme="majorEastAsia" w:cstheme="majorEastAsia"/>
          <w:bCs/>
          <w:color w:val="auto"/>
          <w:sz w:val="24"/>
          <w:szCs w:val="24"/>
          <w:highlight w:val="none"/>
          <w:u w:val="single"/>
        </w:rPr>
      </w:pPr>
    </w:p>
    <w:p>
      <w:pPr>
        <w:spacing w:before="60" w:after="60"/>
        <w:ind w:left="0" w:leftChars="0" w:firstLine="0" w:firstLineChars="0"/>
        <w:jc w:val="left"/>
        <w:rPr>
          <w:rFonts w:asciiTheme="majorEastAsia" w:hAnsiTheme="majorEastAsia" w:eastAsiaTheme="majorEastAsia" w:cstheme="majorEastAsia"/>
          <w:bCs/>
          <w:color w:val="auto"/>
          <w:sz w:val="28"/>
          <w:szCs w:val="28"/>
          <w:highlight w:val="none"/>
          <w:u w:val="single"/>
        </w:rPr>
      </w:pPr>
      <w:r>
        <w:rPr>
          <w:rFonts w:hint="eastAsia" w:hAnsi="宋体" w:eastAsia="宋体" w:cs="宋体"/>
          <w:color w:val="auto"/>
          <w:sz w:val="28"/>
          <w:szCs w:val="28"/>
          <w:highlight w:val="none"/>
          <w:u w:val="single"/>
          <w:lang w:val="en-US" w:eastAsia="zh-CN"/>
        </w:rPr>
        <w:t>四川东辰集团（股份）有限公司</w:t>
      </w:r>
      <w:r>
        <w:rPr>
          <w:rFonts w:hint="eastAsia" w:ascii="宋体" w:hAnsi="宋体" w:eastAsia="宋体" w:cs="宋体"/>
          <w:b/>
          <w:bCs/>
          <w:snapToGrid w:val="0"/>
          <w:color w:val="auto"/>
          <w:kern w:val="0"/>
          <w:sz w:val="28"/>
          <w:szCs w:val="28"/>
          <w:highlight w:val="none"/>
          <w:u w:val="single"/>
        </w:rPr>
        <w:t>：</w:t>
      </w:r>
    </w:p>
    <w:p>
      <w:pPr>
        <w:ind w:firstLine="480"/>
        <w:rPr>
          <w:rFonts w:asciiTheme="majorEastAsia" w:hAnsiTheme="majorEastAsia" w:eastAsiaTheme="majorEastAsia" w:cstheme="majorEastAsia"/>
          <w:bCs/>
          <w:color w:val="auto"/>
          <w:sz w:val="28"/>
          <w:szCs w:val="28"/>
          <w:highlight w:val="none"/>
        </w:rPr>
      </w:pPr>
    </w:p>
    <w:p>
      <w:pPr>
        <w:ind w:firstLine="480"/>
        <w:rPr>
          <w:rFonts w:asciiTheme="majorEastAsia" w:hAnsiTheme="majorEastAsia" w:eastAsiaTheme="majorEastAsia" w:cstheme="majorEastAsia"/>
          <w:bCs/>
          <w:color w:val="auto"/>
          <w:sz w:val="28"/>
          <w:szCs w:val="28"/>
          <w:highlight w:val="none"/>
        </w:rPr>
      </w:pPr>
      <w:r>
        <w:rPr>
          <w:rFonts w:hint="eastAsia" w:asciiTheme="majorEastAsia" w:hAnsiTheme="majorEastAsia" w:eastAsiaTheme="majorEastAsia" w:cstheme="majorEastAsia"/>
          <w:bCs/>
          <w:color w:val="auto"/>
          <w:sz w:val="28"/>
          <w:szCs w:val="28"/>
          <w:highlight w:val="none"/>
        </w:rPr>
        <w:t>本投标人自愿参加</w:t>
      </w:r>
      <w:r>
        <w:rPr>
          <w:rFonts w:hint="eastAsia" w:hAnsi="宋体" w:eastAsia="宋体" w:cs="宋体"/>
          <w:color w:val="auto"/>
          <w:sz w:val="28"/>
          <w:szCs w:val="28"/>
          <w:highlight w:val="none"/>
          <w:u w:val="single"/>
          <w:lang w:val="zh-TW" w:eastAsia="zh-TW"/>
        </w:rPr>
        <w:t>2025—2027年东辰集团</w:t>
      </w:r>
      <w:r>
        <w:rPr>
          <w:rFonts w:hint="eastAsia" w:hAnsi="宋体" w:eastAsia="宋体" w:cs="宋体"/>
          <w:color w:val="auto"/>
          <w:sz w:val="28"/>
          <w:szCs w:val="28"/>
          <w:highlight w:val="none"/>
          <w:u w:val="single"/>
          <w:lang w:val="en-US" w:eastAsia="zh-CN"/>
        </w:rPr>
        <w:t>物业</w:t>
      </w:r>
      <w:r>
        <w:rPr>
          <w:rFonts w:hint="eastAsia" w:hAnsi="宋体" w:eastAsia="宋体" w:cs="宋体"/>
          <w:color w:val="auto"/>
          <w:sz w:val="28"/>
          <w:szCs w:val="28"/>
          <w:highlight w:val="none"/>
          <w:u w:val="single"/>
          <w:lang w:val="zh-TW" w:eastAsia="zh-TW"/>
        </w:rPr>
        <w:t>板块</w:t>
      </w:r>
      <w:r>
        <w:rPr>
          <w:rFonts w:hint="eastAsia" w:hAnsi="宋体" w:eastAsia="宋体" w:cs="宋体"/>
          <w:color w:val="auto"/>
          <w:sz w:val="28"/>
          <w:szCs w:val="28"/>
          <w:highlight w:val="none"/>
          <w:u w:val="single"/>
          <w:lang w:val="zh-TW" w:eastAsia="zh-CN"/>
        </w:rPr>
        <w:t>保洁、</w:t>
      </w:r>
      <w:r>
        <w:rPr>
          <w:rFonts w:hint="eastAsia" w:hAnsi="宋体" w:eastAsia="宋体" w:cs="宋体"/>
          <w:color w:val="auto"/>
          <w:sz w:val="28"/>
          <w:szCs w:val="28"/>
          <w:highlight w:val="none"/>
          <w:u w:val="single"/>
          <w:lang w:val="en-US" w:eastAsia="zh-CN"/>
        </w:rPr>
        <w:t>绿化</w:t>
      </w:r>
      <w:r>
        <w:rPr>
          <w:rFonts w:hint="eastAsia" w:hAnsi="宋体" w:eastAsia="宋体" w:cs="宋体"/>
          <w:color w:val="auto"/>
          <w:sz w:val="28"/>
          <w:szCs w:val="28"/>
          <w:highlight w:val="none"/>
          <w:u w:val="single"/>
          <w:lang w:val="zh-TW" w:eastAsia="zh-TW"/>
        </w:rPr>
        <w:t>服务采购</w:t>
      </w:r>
      <w:r>
        <w:rPr>
          <w:rFonts w:hint="eastAsia" w:hAnsi="宋体" w:eastAsia="宋体" w:cs="宋体"/>
          <w:color w:val="auto"/>
          <w:sz w:val="28"/>
          <w:szCs w:val="28"/>
          <w:highlight w:val="none"/>
          <w:lang w:val="zh-TW" w:eastAsia="zh-TW"/>
        </w:rPr>
        <w:t>（</w:t>
      </w:r>
      <w:r>
        <w:rPr>
          <w:rFonts w:hint="eastAsia" w:hAnsi="宋体" w:eastAsia="宋体" w:cs="宋体"/>
          <w:color w:val="auto"/>
          <w:sz w:val="28"/>
          <w:szCs w:val="28"/>
          <w:highlight w:val="none"/>
          <w:lang w:val="zh-TW" w:eastAsia="zh-CN"/>
        </w:rPr>
        <w:t>三标段</w:t>
      </w:r>
      <w:r>
        <w:rPr>
          <w:rFonts w:hint="eastAsia" w:hAnsi="宋体" w:eastAsia="宋体" w:cs="宋体"/>
          <w:color w:val="auto"/>
          <w:sz w:val="28"/>
          <w:szCs w:val="28"/>
          <w:highlight w:val="none"/>
          <w:lang w:val="zh-TW" w:eastAsia="zh-TW"/>
        </w:rPr>
        <w:t>）</w:t>
      </w:r>
      <w:r>
        <w:rPr>
          <w:rFonts w:hint="eastAsia" w:asciiTheme="majorEastAsia" w:hAnsiTheme="majorEastAsia" w:eastAsiaTheme="majorEastAsia" w:cstheme="majorEastAsia"/>
          <w:bCs/>
          <w:color w:val="auto"/>
          <w:sz w:val="28"/>
          <w:szCs w:val="28"/>
          <w:highlight w:val="none"/>
        </w:rPr>
        <w:t>的投标，并按招标文件要求交纳投标保证金，金额为人民币（大写）</w:t>
      </w:r>
      <w:r>
        <w:rPr>
          <w:rFonts w:hint="eastAsia" w:asciiTheme="majorEastAsia" w:hAnsiTheme="majorEastAsia" w:eastAsiaTheme="majorEastAsia" w:cstheme="majorEastAsia"/>
          <w:bCs/>
          <w:color w:val="auto"/>
          <w:sz w:val="28"/>
          <w:szCs w:val="28"/>
          <w:highlight w:val="none"/>
          <w:lang w:eastAsia="zh-CN"/>
        </w:rPr>
        <w:t>：</w:t>
      </w:r>
      <w:r>
        <w:rPr>
          <w:rFonts w:hint="eastAsia" w:asciiTheme="majorEastAsia" w:hAnsiTheme="majorEastAsia" w:eastAsiaTheme="majorEastAsia" w:cstheme="majorEastAsia"/>
          <w:bCs/>
          <w:color w:val="auto"/>
          <w:sz w:val="28"/>
          <w:szCs w:val="28"/>
          <w:highlight w:val="none"/>
          <w:lang w:val="en-US" w:eastAsia="zh-CN"/>
        </w:rPr>
        <w:t xml:space="preserve">       </w:t>
      </w:r>
      <w:r>
        <w:rPr>
          <w:rFonts w:hint="eastAsia" w:asciiTheme="majorEastAsia" w:hAnsiTheme="majorEastAsia" w:eastAsiaTheme="majorEastAsia" w:cstheme="majorEastAsia"/>
          <w:bCs/>
          <w:color w:val="auto"/>
          <w:sz w:val="28"/>
          <w:szCs w:val="28"/>
          <w:highlight w:val="none"/>
        </w:rPr>
        <w:t>元（¥</w:t>
      </w:r>
      <w:r>
        <w:rPr>
          <w:rFonts w:hint="eastAsia" w:asciiTheme="majorEastAsia" w:hAnsiTheme="majorEastAsia" w:eastAsiaTheme="majorEastAsia" w:cstheme="majorEastAsia"/>
          <w:bCs/>
          <w:color w:val="auto"/>
          <w:sz w:val="28"/>
          <w:szCs w:val="28"/>
          <w:highlight w:val="none"/>
          <w:lang w:val="en-US" w:eastAsia="zh-CN"/>
        </w:rPr>
        <w:t xml:space="preserve">       </w:t>
      </w:r>
      <w:r>
        <w:rPr>
          <w:rFonts w:hint="eastAsia" w:asciiTheme="majorEastAsia" w:hAnsiTheme="majorEastAsia" w:eastAsiaTheme="majorEastAsia" w:cstheme="majorEastAsia"/>
          <w:bCs/>
          <w:color w:val="auto"/>
          <w:sz w:val="28"/>
          <w:szCs w:val="28"/>
          <w:highlight w:val="none"/>
        </w:rPr>
        <w:t>）。</w:t>
      </w:r>
    </w:p>
    <w:p>
      <w:pPr>
        <w:ind w:firstLine="480"/>
        <w:rPr>
          <w:rFonts w:asciiTheme="majorEastAsia" w:hAnsiTheme="majorEastAsia" w:eastAsiaTheme="majorEastAsia" w:cstheme="majorEastAsia"/>
          <w:bCs/>
          <w:color w:val="auto"/>
          <w:sz w:val="28"/>
          <w:szCs w:val="28"/>
          <w:highlight w:val="none"/>
        </w:rPr>
      </w:pPr>
      <w:r>
        <w:rPr>
          <w:rFonts w:hint="eastAsia" w:asciiTheme="majorEastAsia" w:hAnsiTheme="majorEastAsia" w:eastAsiaTheme="majorEastAsia" w:cstheme="majorEastAsia"/>
          <w:bCs/>
          <w:color w:val="auto"/>
          <w:sz w:val="28"/>
          <w:szCs w:val="28"/>
          <w:highlight w:val="none"/>
        </w:rPr>
        <w:t>本投标人承诺所交纳投标保证金是本公司以转账方式交纳的，若有虚假，由此引起的一切责任均由我公司承担。</w:t>
      </w:r>
    </w:p>
    <w:p>
      <w:pPr>
        <w:ind w:firstLine="480"/>
        <w:rPr>
          <w:rFonts w:asciiTheme="majorEastAsia" w:hAnsiTheme="majorEastAsia" w:eastAsiaTheme="majorEastAsia" w:cstheme="majorEastAsia"/>
          <w:bCs/>
          <w:color w:val="auto"/>
          <w:sz w:val="28"/>
          <w:szCs w:val="28"/>
          <w:highlight w:val="none"/>
        </w:rPr>
      </w:pPr>
    </w:p>
    <w:p>
      <w:pPr>
        <w:ind w:firstLine="0" w:firstLineChars="0"/>
        <w:rPr>
          <w:rFonts w:asciiTheme="majorEastAsia" w:hAnsiTheme="majorEastAsia" w:eastAsiaTheme="majorEastAsia" w:cstheme="majorEastAsia"/>
          <w:bCs/>
          <w:color w:val="auto"/>
          <w:sz w:val="28"/>
          <w:szCs w:val="28"/>
          <w:highlight w:val="none"/>
        </w:rPr>
      </w:pPr>
    </w:p>
    <w:p>
      <w:pPr>
        <w:ind w:firstLine="480"/>
        <w:rPr>
          <w:rFonts w:asciiTheme="majorEastAsia" w:hAnsiTheme="majorEastAsia" w:eastAsiaTheme="majorEastAsia" w:cstheme="majorEastAsia"/>
          <w:bCs/>
          <w:color w:val="auto"/>
          <w:sz w:val="28"/>
          <w:szCs w:val="28"/>
          <w:highlight w:val="none"/>
        </w:rPr>
      </w:pPr>
      <w:r>
        <w:rPr>
          <w:rFonts w:hint="eastAsia" w:asciiTheme="majorEastAsia" w:hAnsiTheme="majorEastAsia" w:eastAsiaTheme="majorEastAsia" w:cstheme="majorEastAsia"/>
          <w:bCs/>
          <w:color w:val="auto"/>
          <w:sz w:val="28"/>
          <w:szCs w:val="28"/>
          <w:highlight w:val="none"/>
        </w:rPr>
        <w:t>投 标 人名称：（盖单位公章）</w:t>
      </w:r>
    </w:p>
    <w:p>
      <w:pPr>
        <w:ind w:firstLine="480"/>
        <w:jc w:val="left"/>
        <w:rPr>
          <w:rFonts w:asciiTheme="majorEastAsia" w:hAnsiTheme="majorEastAsia" w:eastAsiaTheme="majorEastAsia" w:cstheme="majorEastAsia"/>
          <w:bCs/>
          <w:color w:val="auto"/>
          <w:sz w:val="28"/>
          <w:szCs w:val="28"/>
          <w:highlight w:val="none"/>
        </w:rPr>
      </w:pPr>
    </w:p>
    <w:p>
      <w:pPr>
        <w:ind w:firstLine="480"/>
        <w:jc w:val="left"/>
        <w:rPr>
          <w:rFonts w:asciiTheme="majorEastAsia" w:hAnsiTheme="majorEastAsia" w:eastAsiaTheme="majorEastAsia" w:cstheme="majorEastAsia"/>
          <w:bCs/>
          <w:color w:val="auto"/>
          <w:sz w:val="28"/>
          <w:szCs w:val="28"/>
          <w:highlight w:val="none"/>
        </w:rPr>
      </w:pPr>
      <w:r>
        <w:rPr>
          <w:rFonts w:hint="eastAsia" w:asciiTheme="majorEastAsia" w:hAnsiTheme="majorEastAsia" w:eastAsiaTheme="majorEastAsia" w:cstheme="majorEastAsia"/>
          <w:bCs/>
          <w:color w:val="auto"/>
          <w:sz w:val="28"/>
          <w:szCs w:val="28"/>
          <w:highlight w:val="none"/>
        </w:rPr>
        <w:t>法定代表人或授权代表：（签字）</w:t>
      </w:r>
    </w:p>
    <w:p>
      <w:pPr>
        <w:ind w:firstLine="480"/>
        <w:jc w:val="center"/>
        <w:rPr>
          <w:rFonts w:asciiTheme="majorEastAsia" w:hAnsiTheme="majorEastAsia" w:eastAsiaTheme="majorEastAsia" w:cstheme="majorEastAsia"/>
          <w:bCs/>
          <w:color w:val="auto"/>
          <w:sz w:val="28"/>
          <w:szCs w:val="28"/>
          <w:highlight w:val="none"/>
        </w:rPr>
      </w:pPr>
    </w:p>
    <w:p>
      <w:pPr>
        <w:ind w:firstLine="480"/>
        <w:jc w:val="left"/>
        <w:rPr>
          <w:rFonts w:asciiTheme="majorEastAsia" w:hAnsiTheme="majorEastAsia" w:eastAsiaTheme="majorEastAsia" w:cstheme="majorEastAsia"/>
          <w:bCs/>
          <w:color w:val="auto"/>
          <w:sz w:val="28"/>
          <w:szCs w:val="28"/>
          <w:highlight w:val="none"/>
        </w:rPr>
      </w:pPr>
      <w:r>
        <w:rPr>
          <w:rFonts w:hint="eastAsia" w:asciiTheme="majorEastAsia" w:hAnsiTheme="majorEastAsia" w:eastAsiaTheme="majorEastAsia" w:cstheme="majorEastAsia"/>
          <w:bCs/>
          <w:color w:val="auto"/>
          <w:sz w:val="28"/>
          <w:szCs w:val="28"/>
          <w:highlight w:val="none"/>
        </w:rPr>
        <w:t>日期： 年</w:t>
      </w:r>
      <w:r>
        <w:rPr>
          <w:rFonts w:hint="eastAsia" w:asciiTheme="majorEastAsia" w:hAnsiTheme="majorEastAsia" w:eastAsiaTheme="majorEastAsia" w:cstheme="majorEastAsia"/>
          <w:bCs/>
          <w:color w:val="auto"/>
          <w:sz w:val="28"/>
          <w:szCs w:val="28"/>
          <w:highlight w:val="none"/>
          <w:lang w:val="en-US" w:eastAsia="zh-CN"/>
        </w:rPr>
        <w:t xml:space="preserve">   </w:t>
      </w:r>
      <w:r>
        <w:rPr>
          <w:rFonts w:hint="eastAsia" w:asciiTheme="majorEastAsia" w:hAnsiTheme="majorEastAsia" w:eastAsiaTheme="majorEastAsia" w:cstheme="majorEastAsia"/>
          <w:bCs/>
          <w:color w:val="auto"/>
          <w:sz w:val="28"/>
          <w:szCs w:val="28"/>
          <w:highlight w:val="none"/>
        </w:rPr>
        <w:t>月</w:t>
      </w:r>
      <w:r>
        <w:rPr>
          <w:rFonts w:hint="eastAsia" w:asciiTheme="majorEastAsia" w:hAnsiTheme="majorEastAsia" w:eastAsiaTheme="majorEastAsia" w:cstheme="majorEastAsia"/>
          <w:bCs/>
          <w:color w:val="auto"/>
          <w:sz w:val="28"/>
          <w:szCs w:val="28"/>
          <w:highlight w:val="none"/>
          <w:lang w:val="en-US" w:eastAsia="zh-CN"/>
        </w:rPr>
        <w:t xml:space="preserve">   </w:t>
      </w:r>
      <w:r>
        <w:rPr>
          <w:rFonts w:hint="eastAsia" w:asciiTheme="majorEastAsia" w:hAnsiTheme="majorEastAsia" w:eastAsiaTheme="majorEastAsia" w:cstheme="majorEastAsia"/>
          <w:bCs/>
          <w:color w:val="auto"/>
          <w:sz w:val="28"/>
          <w:szCs w:val="28"/>
          <w:highlight w:val="none"/>
        </w:rPr>
        <w:t>日</w:t>
      </w:r>
    </w:p>
    <w:p>
      <w:pPr>
        <w:pStyle w:val="15"/>
        <w:spacing w:before="312" w:beforeLines="100" w:after="312" w:afterLines="100" w:line="240" w:lineRule="auto"/>
        <w:ind w:firstLine="0" w:firstLineChars="0"/>
        <w:jc w:val="left"/>
        <w:rPr>
          <w:rFonts w:asciiTheme="majorEastAsia" w:hAnsiTheme="majorEastAsia" w:eastAsiaTheme="majorEastAsia" w:cstheme="majorEastAsia"/>
          <w:snapToGrid w:val="0"/>
          <w:color w:val="auto"/>
          <w:sz w:val="24"/>
          <w:szCs w:val="24"/>
          <w:highlight w:val="none"/>
        </w:rPr>
      </w:pPr>
    </w:p>
    <w:p>
      <w:pPr>
        <w:ind w:firstLine="562"/>
        <w:rPr>
          <w:rFonts w:asciiTheme="majorEastAsia" w:hAnsiTheme="majorEastAsia" w:eastAsiaTheme="majorEastAsia" w:cstheme="majorEastAsia"/>
          <w:b/>
          <w:bCs/>
          <w:color w:val="auto"/>
          <w:sz w:val="28"/>
          <w:szCs w:val="28"/>
          <w:highlight w:val="none"/>
        </w:rPr>
      </w:pPr>
      <w:r>
        <w:rPr>
          <w:rFonts w:hint="eastAsia" w:asciiTheme="majorEastAsia" w:hAnsiTheme="majorEastAsia" w:eastAsiaTheme="majorEastAsia" w:cstheme="majorEastAsia"/>
          <w:b/>
          <w:bCs/>
          <w:color w:val="auto"/>
          <w:sz w:val="28"/>
          <w:szCs w:val="28"/>
          <w:highlight w:val="none"/>
        </w:rPr>
        <w:t>附</w:t>
      </w:r>
      <w:r>
        <w:rPr>
          <w:rFonts w:hint="eastAsia" w:asciiTheme="majorEastAsia" w:hAnsiTheme="majorEastAsia" w:eastAsiaTheme="majorEastAsia" w:cstheme="majorEastAsia"/>
          <w:b/>
          <w:bCs/>
          <w:color w:val="auto"/>
          <w:sz w:val="28"/>
          <w:szCs w:val="28"/>
          <w:highlight w:val="none"/>
          <w:lang w:eastAsia="zh-CN"/>
        </w:rPr>
        <w:t>：</w:t>
      </w:r>
      <w:r>
        <w:rPr>
          <w:rFonts w:hint="eastAsia" w:asciiTheme="majorEastAsia" w:hAnsiTheme="majorEastAsia" w:eastAsiaTheme="majorEastAsia" w:cstheme="majorEastAsia"/>
          <w:b/>
          <w:bCs/>
          <w:color w:val="auto"/>
          <w:sz w:val="28"/>
          <w:szCs w:val="28"/>
          <w:highlight w:val="none"/>
        </w:rPr>
        <w:t>银行转账凭证复印件。</w:t>
      </w:r>
    </w:p>
    <w:p>
      <w:pPr>
        <w:ind w:firstLine="480"/>
        <w:rPr>
          <w:rFonts w:asciiTheme="majorEastAsia" w:hAnsiTheme="majorEastAsia" w:eastAsiaTheme="majorEastAsia" w:cstheme="majorEastAsia"/>
          <w:snapToGrid w:val="0"/>
          <w:color w:val="auto"/>
          <w:sz w:val="24"/>
          <w:szCs w:val="24"/>
          <w:highlight w:val="none"/>
        </w:rPr>
      </w:pPr>
    </w:p>
    <w:p>
      <w:pPr>
        <w:spacing w:line="380" w:lineRule="exact"/>
        <w:ind w:left="0" w:leftChars="0" w:firstLine="0" w:firstLineChars="0"/>
        <w:rPr>
          <w:rFonts w:hint="eastAsia" w:asciiTheme="majorEastAsia" w:hAnsiTheme="majorEastAsia" w:eastAsiaTheme="majorEastAsia" w:cstheme="majorEastAsia"/>
          <w:b/>
          <w:snapToGrid w:val="0"/>
          <w:color w:val="auto"/>
          <w:sz w:val="28"/>
          <w:szCs w:val="28"/>
          <w:highlight w:val="none"/>
        </w:rPr>
      </w:pPr>
    </w:p>
    <w:p>
      <w:pPr>
        <w:spacing w:line="380" w:lineRule="exact"/>
        <w:ind w:left="0" w:leftChars="0" w:firstLine="0" w:firstLineChars="0"/>
        <w:rPr>
          <w:rFonts w:hint="eastAsia" w:asciiTheme="majorEastAsia" w:hAnsiTheme="majorEastAsia" w:eastAsiaTheme="majorEastAsia" w:cstheme="majorEastAsia"/>
          <w:b/>
          <w:snapToGrid w:val="0"/>
          <w:color w:val="auto"/>
          <w:sz w:val="28"/>
          <w:szCs w:val="28"/>
          <w:highlight w:val="none"/>
        </w:rPr>
      </w:pPr>
    </w:p>
    <w:p>
      <w:pPr>
        <w:spacing w:line="380" w:lineRule="exact"/>
        <w:ind w:left="0" w:leftChars="0" w:firstLine="0" w:firstLineChars="0"/>
        <w:rPr>
          <w:rFonts w:hint="eastAsia" w:asciiTheme="majorEastAsia" w:hAnsiTheme="majorEastAsia" w:eastAsiaTheme="majorEastAsia" w:cstheme="majorEastAsia"/>
          <w:b/>
          <w:snapToGrid w:val="0"/>
          <w:color w:val="auto"/>
          <w:sz w:val="28"/>
          <w:szCs w:val="28"/>
          <w:highlight w:val="none"/>
        </w:rPr>
      </w:pPr>
    </w:p>
    <w:p>
      <w:pPr>
        <w:spacing w:line="380" w:lineRule="exact"/>
        <w:ind w:left="0" w:leftChars="0" w:firstLine="0" w:firstLineChars="0"/>
        <w:rPr>
          <w:rFonts w:hint="eastAsia" w:asciiTheme="majorEastAsia" w:hAnsiTheme="majorEastAsia" w:eastAsiaTheme="majorEastAsia" w:cstheme="majorEastAsia"/>
          <w:b/>
          <w:snapToGrid w:val="0"/>
          <w:color w:val="auto"/>
          <w:sz w:val="28"/>
          <w:szCs w:val="28"/>
          <w:highlight w:val="none"/>
        </w:rPr>
      </w:pPr>
    </w:p>
    <w:p>
      <w:pPr>
        <w:spacing w:line="380" w:lineRule="exact"/>
        <w:ind w:left="0" w:leftChars="0" w:firstLine="0" w:firstLineChars="0"/>
        <w:rPr>
          <w:rFonts w:hint="eastAsia" w:asciiTheme="majorEastAsia" w:hAnsiTheme="majorEastAsia" w:eastAsiaTheme="majorEastAsia" w:cstheme="majorEastAsia"/>
          <w:b/>
          <w:snapToGrid w:val="0"/>
          <w:color w:val="auto"/>
          <w:sz w:val="28"/>
          <w:szCs w:val="28"/>
          <w:highlight w:val="none"/>
        </w:rPr>
      </w:pPr>
    </w:p>
    <w:p>
      <w:pPr>
        <w:spacing w:line="380" w:lineRule="exact"/>
        <w:ind w:left="0" w:leftChars="0" w:firstLine="0" w:firstLineChars="0"/>
        <w:rPr>
          <w:rFonts w:hint="eastAsia" w:asciiTheme="majorEastAsia" w:hAnsiTheme="majorEastAsia" w:eastAsiaTheme="majorEastAsia" w:cstheme="majorEastAsia"/>
          <w:b/>
          <w:snapToGrid w:val="0"/>
          <w:color w:val="auto"/>
          <w:sz w:val="28"/>
          <w:szCs w:val="28"/>
          <w:highlight w:val="none"/>
        </w:rPr>
      </w:pPr>
    </w:p>
    <w:p>
      <w:pPr>
        <w:spacing w:line="380" w:lineRule="exact"/>
        <w:ind w:left="0" w:leftChars="0" w:firstLine="0" w:firstLineChars="0"/>
        <w:rPr>
          <w:color w:val="auto"/>
          <w:highlight w:val="none"/>
        </w:rPr>
      </w:pPr>
      <w:r>
        <w:rPr>
          <w:rFonts w:hint="eastAsia" w:asciiTheme="majorEastAsia" w:hAnsiTheme="majorEastAsia" w:eastAsiaTheme="majorEastAsia" w:cstheme="majorEastAsia"/>
          <w:b/>
          <w:snapToGrid w:val="0"/>
          <w:color w:val="auto"/>
          <w:sz w:val="28"/>
          <w:szCs w:val="28"/>
          <w:highlight w:val="none"/>
        </w:rPr>
        <w:t>特别说明：本文件内容及格式为实质性要求。</w:t>
      </w:r>
    </w:p>
    <w:p>
      <w:pPr>
        <w:ind w:right="105" w:firstLine="0" w:firstLineChars="0"/>
        <w:jc w:val="center"/>
        <w:outlineLvl w:val="0"/>
        <w:rPr>
          <w:rFonts w:hint="eastAsia" w:asciiTheme="majorEastAsia" w:hAnsiTheme="majorEastAsia" w:eastAsiaTheme="majorEastAsia" w:cstheme="majorEastAsia"/>
          <w:b/>
          <w:bCs/>
          <w:color w:val="auto"/>
          <w:sz w:val="32"/>
          <w:szCs w:val="32"/>
          <w:highlight w:val="none"/>
        </w:rPr>
      </w:pPr>
    </w:p>
    <w:p>
      <w:pPr>
        <w:ind w:right="105" w:firstLine="0" w:firstLineChars="0"/>
        <w:jc w:val="center"/>
        <w:outlineLvl w:val="0"/>
        <w:rPr>
          <w:rFonts w:asciiTheme="majorEastAsia" w:hAnsiTheme="majorEastAsia" w:eastAsiaTheme="majorEastAsia" w:cstheme="majorEastAsia"/>
          <w:b/>
          <w:bCs/>
          <w:color w:val="auto"/>
          <w:sz w:val="32"/>
          <w:szCs w:val="32"/>
          <w:highlight w:val="none"/>
        </w:rPr>
      </w:pPr>
      <w:bookmarkStart w:id="29" w:name="_Toc13779"/>
      <w:r>
        <w:rPr>
          <w:rFonts w:hint="eastAsia" w:asciiTheme="majorEastAsia" w:hAnsiTheme="majorEastAsia" w:eastAsiaTheme="majorEastAsia" w:cstheme="majorEastAsia"/>
          <w:b/>
          <w:bCs/>
          <w:color w:val="auto"/>
          <w:sz w:val="32"/>
          <w:szCs w:val="32"/>
          <w:highlight w:val="none"/>
        </w:rPr>
        <w:t>第六章  合同主要条款</w:t>
      </w:r>
      <w:bookmarkEnd w:id="29"/>
    </w:p>
    <w:bookmarkEnd w:id="19"/>
    <w:bookmarkEnd w:id="22"/>
    <w:p>
      <w:pPr>
        <w:keepNext w:val="0"/>
        <w:keepLines w:val="0"/>
        <w:pageBreakBefore w:val="0"/>
        <w:widowControl w:val="0"/>
        <w:tabs>
          <w:tab w:val="left" w:pos="795"/>
        </w:tabs>
        <w:kinsoku/>
        <w:wordWrap/>
        <w:overflowPunct/>
        <w:topLinePunct w:val="0"/>
        <w:autoSpaceDE/>
        <w:autoSpaceDN/>
        <w:bidi w:val="0"/>
        <w:adjustRightInd/>
        <w:snapToGrid/>
        <w:spacing w:before="157" w:beforeLines="50" w:after="313" w:afterLines="100" w:line="360" w:lineRule="auto"/>
        <w:jc w:val="center"/>
        <w:textAlignment w:val="auto"/>
        <w:outlineLvl w:val="9"/>
        <w:rPr>
          <w:rFonts w:hint="eastAsia" w:ascii="仿宋" w:hAnsi="仿宋" w:eastAsia="仿宋" w:cs="仿宋"/>
          <w:color w:val="auto"/>
          <w:sz w:val="28"/>
          <w:szCs w:val="28"/>
          <w:highlight w:val="none"/>
        </w:rPr>
      </w:pPr>
      <w:r>
        <w:rPr>
          <w:rFonts w:hint="eastAsia" w:ascii="仿宋" w:hAnsi="仿宋" w:eastAsia="仿宋" w:cs="仿宋"/>
          <w:b/>
          <w:color w:val="auto"/>
          <w:sz w:val="28"/>
          <w:szCs w:val="28"/>
          <w:highlight w:val="none"/>
        </w:rPr>
        <w:t xml:space="preserve"> </w:t>
      </w:r>
      <w:r>
        <w:rPr>
          <w:rFonts w:hint="eastAsia" w:ascii="黑体" w:hAnsi="黑体" w:eastAsia="黑体" w:cs="黑体"/>
          <w:b w:val="0"/>
          <w:bCs/>
          <w:color w:val="auto"/>
          <w:sz w:val="44"/>
          <w:szCs w:val="44"/>
          <w:highlight w:val="none"/>
          <w:lang w:eastAsia="zh-CN"/>
        </w:rPr>
        <w:t>保洁服务</w:t>
      </w:r>
      <w:r>
        <w:rPr>
          <w:rFonts w:hint="eastAsia" w:ascii="黑体" w:hAnsi="黑体" w:eastAsia="黑体" w:cs="黑体"/>
          <w:b w:val="0"/>
          <w:bCs/>
          <w:color w:val="auto"/>
          <w:sz w:val="44"/>
          <w:szCs w:val="44"/>
          <w:highlight w:val="none"/>
        </w:rPr>
        <w:t>合同</w:t>
      </w:r>
    </w:p>
    <w:p>
      <w:pPr>
        <w:tabs>
          <w:tab w:val="left" w:pos="795"/>
        </w:tabs>
        <w:spacing w:line="360" w:lineRule="auto"/>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委 托 方：</w:t>
      </w:r>
      <w:r>
        <w:rPr>
          <w:rFonts w:hint="eastAsia" w:ascii="仿宋" w:hAnsi="仿宋" w:eastAsia="仿宋" w:cs="仿宋"/>
          <w:bCs/>
          <w:color w:val="auto"/>
          <w:sz w:val="28"/>
          <w:szCs w:val="28"/>
          <w:highlight w:val="none"/>
          <w:lang w:val="en-US" w:eastAsia="zh-CN"/>
        </w:rPr>
        <w:t xml:space="preserve"> </w:t>
      </w:r>
      <w:r>
        <w:rPr>
          <w:rFonts w:hint="eastAsia" w:ascii="仿宋" w:hAnsi="仿宋" w:eastAsia="仿宋" w:cs="仿宋"/>
          <w:bCs/>
          <w:color w:val="auto"/>
          <w:sz w:val="28"/>
          <w:szCs w:val="28"/>
          <w:highlight w:val="none"/>
          <w:u w:val="none"/>
        </w:rPr>
        <w:t>（以下简称甲方）</w:t>
      </w:r>
    </w:p>
    <w:p>
      <w:pPr>
        <w:tabs>
          <w:tab w:val="left" w:pos="795"/>
        </w:tabs>
        <w:spacing w:line="360" w:lineRule="auto"/>
        <w:rPr>
          <w:rFonts w:hint="eastAsia"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被委托方：</w:t>
      </w:r>
      <w:r>
        <w:rPr>
          <w:rFonts w:hint="eastAsia" w:ascii="仿宋" w:hAnsi="仿宋" w:eastAsia="仿宋" w:cs="仿宋"/>
          <w:bCs/>
          <w:color w:val="auto"/>
          <w:sz w:val="28"/>
          <w:szCs w:val="28"/>
          <w:highlight w:val="none"/>
          <w:u w:val="none"/>
        </w:rPr>
        <w:t>（以下简称乙方）</w:t>
      </w:r>
    </w:p>
    <w:p>
      <w:pPr>
        <w:tabs>
          <w:tab w:val="left" w:pos="480"/>
        </w:tabs>
        <w:spacing w:line="360" w:lineRule="auto"/>
        <w:ind w:left="105" w:hanging="140" w:hangingChars="50"/>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lang w:eastAsia="zh-CN"/>
        </w:rPr>
        <w:t>根据《中华人民共和国民法典》等相关法律</w:t>
      </w:r>
      <w:r>
        <w:rPr>
          <w:rFonts w:hint="eastAsia" w:ascii="仿宋" w:hAnsi="仿宋" w:eastAsia="仿宋" w:cs="仿宋"/>
          <w:color w:val="auto"/>
          <w:sz w:val="28"/>
          <w:szCs w:val="28"/>
          <w:highlight w:val="none"/>
          <w:lang w:val="en-US" w:eastAsia="zh-CN"/>
        </w:rPr>
        <w:t>法规之规定</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经甲乙双方友好协商，本着平等互利、等价有偿的原则，就乙方对</w:t>
      </w:r>
      <w:r>
        <w:rPr>
          <w:rFonts w:hint="eastAsia" w:ascii="仿宋" w:hAnsi="仿宋" w:eastAsia="仿宋" w:cs="仿宋"/>
          <w:color w:val="auto"/>
          <w:sz w:val="28"/>
          <w:szCs w:val="28"/>
          <w:highlight w:val="none"/>
          <w:u w:val="none"/>
        </w:rPr>
        <w:t xml:space="preserve"> </w:t>
      </w:r>
      <w:r>
        <w:rPr>
          <w:rFonts w:hint="eastAsia" w:ascii="仿宋" w:hAnsi="仿宋" w:eastAsia="仿宋" w:cs="仿宋"/>
          <w:color w:val="auto"/>
          <w:sz w:val="28"/>
          <w:szCs w:val="28"/>
          <w:highlight w:val="none"/>
          <w:u w:val="single"/>
          <w:lang w:eastAsia="zh-CN"/>
        </w:rPr>
        <w:t>日常保洁、</w:t>
      </w:r>
      <w:r>
        <w:rPr>
          <w:rFonts w:hint="eastAsia" w:ascii="仿宋" w:hAnsi="仿宋" w:eastAsia="仿宋" w:cs="仿宋"/>
          <w:color w:val="auto"/>
          <w:sz w:val="28"/>
          <w:szCs w:val="28"/>
          <w:highlight w:val="none"/>
          <w:u w:val="single"/>
          <w:lang w:val="en-US" w:eastAsia="zh-CN"/>
        </w:rPr>
        <w:t>绿植维护</w:t>
      </w:r>
      <w:r>
        <w:rPr>
          <w:rFonts w:hint="eastAsia" w:ascii="仿宋" w:hAnsi="仿宋" w:eastAsia="仿宋" w:cs="仿宋"/>
          <w:color w:val="auto"/>
          <w:sz w:val="28"/>
          <w:szCs w:val="28"/>
          <w:highlight w:val="none"/>
          <w:u w:val="none"/>
        </w:rPr>
        <w:t xml:space="preserve"> </w:t>
      </w:r>
      <w:r>
        <w:rPr>
          <w:rFonts w:hint="eastAsia" w:ascii="仿宋" w:hAnsi="仿宋" w:eastAsia="仿宋" w:cs="仿宋"/>
          <w:color w:val="auto"/>
          <w:sz w:val="28"/>
          <w:szCs w:val="28"/>
          <w:highlight w:val="none"/>
        </w:rPr>
        <w:t>提供</w:t>
      </w:r>
      <w:r>
        <w:rPr>
          <w:rFonts w:hint="eastAsia" w:ascii="仿宋" w:hAnsi="仿宋" w:eastAsia="仿宋" w:cs="仿宋"/>
          <w:color w:val="auto"/>
          <w:sz w:val="28"/>
          <w:szCs w:val="28"/>
          <w:highlight w:val="none"/>
          <w:u w:val="single"/>
          <w:lang w:val="en-US" w:eastAsia="zh-CN"/>
        </w:rPr>
        <w:t>承包</w:t>
      </w:r>
      <w:r>
        <w:rPr>
          <w:rFonts w:hint="eastAsia" w:ascii="仿宋" w:hAnsi="仿宋" w:eastAsia="仿宋" w:cs="仿宋"/>
          <w:color w:val="auto"/>
          <w:sz w:val="28"/>
          <w:szCs w:val="28"/>
          <w:highlight w:val="none"/>
        </w:rPr>
        <w:t>服务，</w:t>
      </w:r>
      <w:r>
        <w:rPr>
          <w:rFonts w:hint="eastAsia" w:ascii="仿宋" w:hAnsi="仿宋" w:eastAsia="仿宋" w:cs="仿宋"/>
          <w:color w:val="auto"/>
          <w:sz w:val="28"/>
          <w:szCs w:val="28"/>
          <w:highlight w:val="none"/>
          <w:lang w:val="en-US" w:eastAsia="zh-CN"/>
        </w:rPr>
        <w:t>双方特</w:t>
      </w:r>
      <w:r>
        <w:rPr>
          <w:rFonts w:hint="eastAsia" w:ascii="仿宋" w:hAnsi="仿宋" w:eastAsia="仿宋" w:cs="仿宋"/>
          <w:color w:val="auto"/>
          <w:sz w:val="28"/>
          <w:szCs w:val="28"/>
          <w:highlight w:val="none"/>
        </w:rPr>
        <w:t>签</w:t>
      </w:r>
      <w:r>
        <w:rPr>
          <w:rFonts w:hint="eastAsia" w:ascii="仿宋" w:hAnsi="仿宋" w:eastAsia="仿宋" w:cs="仿宋"/>
          <w:color w:val="auto"/>
          <w:sz w:val="28"/>
          <w:szCs w:val="28"/>
          <w:highlight w:val="none"/>
          <w:lang w:val="en-US" w:eastAsia="zh-CN"/>
        </w:rPr>
        <w:t>订本</w:t>
      </w:r>
      <w:r>
        <w:rPr>
          <w:rFonts w:hint="eastAsia" w:ascii="仿宋" w:hAnsi="仿宋" w:eastAsia="仿宋" w:cs="仿宋"/>
          <w:color w:val="auto"/>
          <w:sz w:val="28"/>
          <w:szCs w:val="28"/>
          <w:highlight w:val="none"/>
        </w:rPr>
        <w:t>合同</w:t>
      </w:r>
      <w:r>
        <w:rPr>
          <w:rFonts w:hint="eastAsia" w:ascii="仿宋" w:hAnsi="仿宋" w:eastAsia="仿宋" w:cs="仿宋"/>
          <w:color w:val="auto"/>
          <w:sz w:val="28"/>
          <w:szCs w:val="28"/>
          <w:highlight w:val="none"/>
          <w:lang w:eastAsia="zh-CN"/>
        </w:rPr>
        <w:t>，以兹共同遵守。</w:t>
      </w:r>
    </w:p>
    <w:p>
      <w:pPr>
        <w:tabs>
          <w:tab w:val="left" w:pos="795"/>
        </w:tabs>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一、</w:t>
      </w:r>
      <w:r>
        <w:rPr>
          <w:rFonts w:hint="eastAsia" w:ascii="仿宋" w:hAnsi="仿宋" w:eastAsia="仿宋" w:cs="仿宋"/>
          <w:b/>
          <w:color w:val="auto"/>
          <w:sz w:val="28"/>
          <w:szCs w:val="28"/>
          <w:highlight w:val="none"/>
          <w:lang w:eastAsia="zh-CN"/>
        </w:rPr>
        <w:t>服务</w:t>
      </w:r>
      <w:r>
        <w:rPr>
          <w:rFonts w:hint="eastAsia" w:ascii="仿宋" w:hAnsi="仿宋" w:eastAsia="仿宋" w:cs="仿宋"/>
          <w:b/>
          <w:color w:val="auto"/>
          <w:sz w:val="28"/>
          <w:szCs w:val="28"/>
          <w:highlight w:val="none"/>
        </w:rPr>
        <w:t>范围</w:t>
      </w:r>
    </w:p>
    <w:p>
      <w:pPr>
        <w:spacing w:line="360" w:lineRule="auto"/>
        <w:ind w:firstLine="560" w:firstLineChars="200"/>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u w:val="single"/>
          <w:lang w:val="en-US" w:eastAsia="zh-CN"/>
        </w:rPr>
        <w:t>小区</w:t>
      </w:r>
      <w:r>
        <w:rPr>
          <w:rFonts w:hint="eastAsia" w:ascii="仿宋" w:hAnsi="仿宋" w:eastAsia="仿宋" w:cs="仿宋"/>
          <w:color w:val="auto"/>
          <w:sz w:val="28"/>
          <w:szCs w:val="28"/>
          <w:highlight w:val="none"/>
          <w:lang w:val="en-US" w:eastAsia="zh-CN"/>
        </w:rPr>
        <w:t>公共部分及其小区室外公共区域，包括地下室、楼层楼道，广场、地面停车位、道路、公共设施、公共场地、园林绿化、沟渠池井、水景喷泉、大堂、外围雨棚玻璃、管道、(水、电、煤气等)表箱盖、公共照明、单元门、楼道窗、墙面(3米以下)、办公场所(除办公室)、公共卫生间等公共区域及设施的清洁和垃圾收集、清运和绿植维护。</w:t>
      </w:r>
      <w:r>
        <w:rPr>
          <w:rFonts w:hint="eastAsia" w:ascii="仿宋" w:hAnsi="仿宋" w:eastAsia="仿宋" w:cs="仿宋"/>
          <w:color w:val="auto"/>
          <w:sz w:val="28"/>
          <w:szCs w:val="28"/>
          <w:highlight w:val="none"/>
        </w:rPr>
        <w:t xml:space="preserve">                                             </w:t>
      </w:r>
    </w:p>
    <w:p>
      <w:pPr>
        <w:tabs>
          <w:tab w:val="left" w:pos="795"/>
        </w:tabs>
        <w:spacing w:line="360" w:lineRule="auto"/>
        <w:rPr>
          <w:rFonts w:hint="eastAsia" w:ascii="仿宋" w:hAnsi="仿宋" w:eastAsia="仿宋" w:cs="仿宋"/>
          <w:b/>
          <w:color w:val="auto"/>
          <w:sz w:val="28"/>
          <w:szCs w:val="28"/>
          <w:highlight w:val="none"/>
          <w:lang w:eastAsia="zh-CN"/>
        </w:rPr>
      </w:pPr>
      <w:r>
        <w:rPr>
          <w:rFonts w:hint="eastAsia" w:ascii="仿宋" w:hAnsi="仿宋" w:eastAsia="仿宋" w:cs="仿宋"/>
          <w:b/>
          <w:color w:val="auto"/>
          <w:sz w:val="28"/>
          <w:szCs w:val="28"/>
          <w:highlight w:val="none"/>
          <w:lang w:eastAsia="zh-CN"/>
        </w:rPr>
        <w:t>二、服务时间</w:t>
      </w:r>
    </w:p>
    <w:p>
      <w:pPr>
        <w:widowControl/>
        <w:ind w:firstLine="280" w:firstLineChars="100"/>
        <w:jc w:val="left"/>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1、服务时间为综合计时。每日服务时间为8小时，</w:t>
      </w:r>
      <w:r>
        <w:rPr>
          <w:rFonts w:hint="eastAsia" w:ascii="仿宋" w:hAnsi="仿宋" w:eastAsia="仿宋" w:cs="仿宋"/>
          <w:color w:val="auto"/>
          <w:sz w:val="28"/>
          <w:szCs w:val="28"/>
          <w:highlight w:val="none"/>
        </w:rPr>
        <w:t>上午</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7</w:t>
      </w:r>
      <w:r>
        <w:rPr>
          <w:rFonts w:hint="eastAsia" w:ascii="仿宋" w:hAnsi="仿宋" w:eastAsia="仿宋" w:cs="仿宋"/>
          <w:color w:val="auto"/>
          <w:sz w:val="28"/>
          <w:szCs w:val="28"/>
          <w:highlight w:val="none"/>
          <w:u w:val="single"/>
        </w:rPr>
        <w:t>:</w:t>
      </w:r>
      <w:r>
        <w:rPr>
          <w:rFonts w:hint="eastAsia" w:ascii="仿宋" w:hAnsi="仿宋" w:eastAsia="仿宋" w:cs="仿宋"/>
          <w:color w:val="auto"/>
          <w:sz w:val="28"/>
          <w:szCs w:val="28"/>
          <w:highlight w:val="none"/>
          <w:u w:val="single"/>
          <w:lang w:val="en-US" w:eastAsia="zh-CN"/>
        </w:rPr>
        <w:t>3</w:t>
      </w:r>
      <w:r>
        <w:rPr>
          <w:rFonts w:hint="eastAsia" w:ascii="仿宋" w:hAnsi="仿宋" w:eastAsia="仿宋" w:cs="仿宋"/>
          <w:color w:val="auto"/>
          <w:sz w:val="28"/>
          <w:szCs w:val="28"/>
          <w:highlight w:val="none"/>
          <w:u w:val="single"/>
        </w:rPr>
        <w:t xml:space="preserve">0 </w:t>
      </w:r>
      <w:r>
        <w:rPr>
          <w:rFonts w:hint="eastAsia" w:ascii="仿宋" w:hAnsi="仿宋" w:eastAsia="仿宋" w:cs="仿宋"/>
          <w:color w:val="auto"/>
          <w:sz w:val="28"/>
          <w:szCs w:val="28"/>
          <w:highlight w:val="none"/>
        </w:rPr>
        <w:t>至</w:t>
      </w:r>
      <w:r>
        <w:rPr>
          <w:rFonts w:hint="eastAsia" w:ascii="仿宋" w:hAnsi="仿宋" w:eastAsia="仿宋" w:cs="仿宋"/>
          <w:color w:val="auto"/>
          <w:sz w:val="28"/>
          <w:szCs w:val="28"/>
          <w:highlight w:val="none"/>
          <w:u w:val="single"/>
        </w:rPr>
        <w:t xml:space="preserve"> 1</w:t>
      </w:r>
      <w:r>
        <w:rPr>
          <w:rFonts w:hint="eastAsia" w:ascii="仿宋" w:hAnsi="仿宋" w:eastAsia="仿宋" w:cs="仿宋"/>
          <w:color w:val="auto"/>
          <w:sz w:val="28"/>
          <w:szCs w:val="28"/>
          <w:highlight w:val="none"/>
          <w:u w:val="single"/>
          <w:lang w:val="en-US" w:eastAsia="zh-CN"/>
        </w:rPr>
        <w:t>1:3</w:t>
      </w:r>
      <w:r>
        <w:rPr>
          <w:rFonts w:hint="eastAsia" w:ascii="仿宋" w:hAnsi="仿宋" w:eastAsia="仿宋" w:cs="仿宋"/>
          <w:color w:val="auto"/>
          <w:sz w:val="28"/>
          <w:szCs w:val="28"/>
          <w:highlight w:val="none"/>
          <w:u w:val="single"/>
        </w:rPr>
        <w:t xml:space="preserve">0 </w:t>
      </w:r>
      <w:r>
        <w:rPr>
          <w:rFonts w:hint="eastAsia" w:ascii="仿宋" w:hAnsi="仿宋" w:eastAsia="仿宋" w:cs="仿宋"/>
          <w:color w:val="auto"/>
          <w:sz w:val="28"/>
          <w:szCs w:val="28"/>
          <w:highlight w:val="none"/>
        </w:rPr>
        <w:t>，下午</w:t>
      </w:r>
      <w:r>
        <w:rPr>
          <w:rFonts w:hint="eastAsia" w:ascii="仿宋" w:hAnsi="仿宋" w:eastAsia="仿宋" w:cs="仿宋"/>
          <w:color w:val="auto"/>
          <w:sz w:val="28"/>
          <w:szCs w:val="28"/>
          <w:highlight w:val="none"/>
          <w:u w:val="single"/>
        </w:rPr>
        <w:t xml:space="preserve"> 14:00 </w:t>
      </w:r>
      <w:r>
        <w:rPr>
          <w:rFonts w:hint="eastAsia" w:ascii="仿宋" w:hAnsi="仿宋" w:eastAsia="仿宋" w:cs="仿宋"/>
          <w:color w:val="auto"/>
          <w:sz w:val="28"/>
          <w:szCs w:val="28"/>
          <w:highlight w:val="none"/>
        </w:rPr>
        <w:t>至</w:t>
      </w:r>
      <w:r>
        <w:rPr>
          <w:rFonts w:hint="eastAsia" w:ascii="仿宋" w:hAnsi="仿宋" w:eastAsia="仿宋" w:cs="仿宋"/>
          <w:color w:val="auto"/>
          <w:sz w:val="28"/>
          <w:szCs w:val="28"/>
          <w:highlight w:val="none"/>
          <w:u w:val="single"/>
        </w:rPr>
        <w:t xml:space="preserve"> 1</w:t>
      </w:r>
      <w:r>
        <w:rPr>
          <w:rFonts w:hint="eastAsia" w:ascii="仿宋" w:hAnsi="仿宋" w:eastAsia="仿宋" w:cs="仿宋"/>
          <w:color w:val="auto"/>
          <w:sz w:val="28"/>
          <w:szCs w:val="28"/>
          <w:highlight w:val="none"/>
          <w:u w:val="single"/>
          <w:lang w:val="en-US" w:eastAsia="zh-CN"/>
        </w:rPr>
        <w:t>8:00；</w:t>
      </w:r>
      <w:r>
        <w:rPr>
          <w:rFonts w:hint="eastAsia" w:ascii="仿宋" w:hAnsi="仿宋" w:eastAsia="仿宋" w:cs="仿宋"/>
          <w:color w:val="auto"/>
          <w:sz w:val="28"/>
          <w:szCs w:val="28"/>
          <w:highlight w:val="none"/>
          <w:u w:val="single"/>
          <w:lang w:eastAsia="zh-CN"/>
        </w:rPr>
        <w:t>其中：</w:t>
      </w:r>
      <w:r>
        <w:rPr>
          <w:rFonts w:hint="eastAsia" w:ascii="仿宋" w:hAnsi="仿宋" w:eastAsia="仿宋" w:cs="仿宋"/>
          <w:color w:val="auto"/>
          <w:sz w:val="28"/>
          <w:szCs w:val="28"/>
          <w:highlight w:val="none"/>
          <w:u w:val="single"/>
          <w:lang w:val="en-US" w:eastAsia="zh-CN"/>
        </w:rPr>
        <w:t>11:30-14:00安排一人现场值班</w:t>
      </w:r>
      <w:r>
        <w:rPr>
          <w:rFonts w:hint="eastAsia" w:ascii="仿宋" w:hAnsi="仿宋" w:eastAsia="仿宋" w:cs="仿宋"/>
          <w:color w:val="auto"/>
          <w:sz w:val="28"/>
          <w:szCs w:val="28"/>
          <w:highlight w:val="none"/>
          <w:u w:val="none"/>
          <w:lang w:val="en-US" w:eastAsia="zh-CN"/>
        </w:rPr>
        <w:t>。</w:t>
      </w:r>
    </w:p>
    <w:p>
      <w:pPr>
        <w:pStyle w:val="2"/>
        <w:ind w:firstLine="280" w:firstLineChars="1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val="en-US" w:eastAsia="zh-CN"/>
        </w:rPr>
        <w:t>2</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eastAsia="zh-CN"/>
        </w:rPr>
        <w:t>原则上，</w:t>
      </w:r>
      <w:r>
        <w:rPr>
          <w:rFonts w:hint="eastAsia" w:ascii="仿宋" w:hAnsi="仿宋" w:eastAsia="仿宋" w:cs="仿宋"/>
          <w:color w:val="auto"/>
          <w:sz w:val="28"/>
          <w:szCs w:val="28"/>
          <w:highlight w:val="none"/>
        </w:rPr>
        <w:t>乙方派驻</w:t>
      </w:r>
      <w:r>
        <w:rPr>
          <w:rFonts w:hint="eastAsia" w:ascii="仿宋" w:hAnsi="仿宋" w:eastAsia="仿宋" w:cs="仿宋"/>
          <w:color w:val="auto"/>
          <w:sz w:val="28"/>
          <w:szCs w:val="28"/>
          <w:highlight w:val="none"/>
          <w:lang w:val="en-US" w:eastAsia="zh-CN"/>
        </w:rPr>
        <w:t>服务人员的</w:t>
      </w:r>
      <w:r>
        <w:rPr>
          <w:rFonts w:hint="eastAsia" w:ascii="仿宋" w:hAnsi="仿宋" w:eastAsia="仿宋" w:cs="仿宋"/>
          <w:color w:val="auto"/>
          <w:sz w:val="28"/>
          <w:szCs w:val="28"/>
          <w:highlight w:val="none"/>
          <w:lang w:eastAsia="zh-CN"/>
        </w:rPr>
        <w:t>工</w:t>
      </w:r>
      <w:r>
        <w:rPr>
          <w:rFonts w:hint="eastAsia" w:ascii="仿宋" w:hAnsi="仿宋" w:eastAsia="仿宋" w:cs="仿宋"/>
          <w:color w:val="auto"/>
          <w:sz w:val="28"/>
          <w:szCs w:val="28"/>
          <w:highlight w:val="none"/>
        </w:rPr>
        <w:t>作时间</w:t>
      </w:r>
      <w:r>
        <w:rPr>
          <w:rFonts w:hint="eastAsia" w:ascii="仿宋" w:hAnsi="仿宋" w:eastAsia="仿宋" w:cs="仿宋"/>
          <w:color w:val="auto"/>
          <w:sz w:val="28"/>
          <w:szCs w:val="28"/>
          <w:highlight w:val="none"/>
          <w:lang w:eastAsia="zh-CN"/>
        </w:rPr>
        <w:t>应</w:t>
      </w:r>
      <w:r>
        <w:rPr>
          <w:rFonts w:hint="eastAsia" w:ascii="仿宋" w:hAnsi="仿宋" w:eastAsia="仿宋" w:cs="仿宋"/>
          <w:color w:val="auto"/>
          <w:sz w:val="28"/>
          <w:szCs w:val="28"/>
          <w:highlight w:val="none"/>
        </w:rPr>
        <w:t>按</w:t>
      </w:r>
      <w:r>
        <w:rPr>
          <w:rFonts w:hint="eastAsia" w:ascii="仿宋" w:hAnsi="仿宋" w:eastAsia="仿宋" w:cs="仿宋"/>
          <w:color w:val="auto"/>
          <w:sz w:val="28"/>
          <w:szCs w:val="28"/>
          <w:highlight w:val="none"/>
          <w:lang w:eastAsia="zh-CN"/>
        </w:rPr>
        <w:t>本合同约定</w:t>
      </w:r>
      <w:r>
        <w:rPr>
          <w:rFonts w:hint="eastAsia" w:ascii="仿宋" w:hAnsi="仿宋" w:eastAsia="仿宋" w:cs="仿宋"/>
          <w:color w:val="auto"/>
          <w:sz w:val="28"/>
          <w:szCs w:val="28"/>
          <w:highlight w:val="none"/>
        </w:rPr>
        <w:t>执行，</w:t>
      </w:r>
      <w:r>
        <w:rPr>
          <w:rFonts w:hint="eastAsia" w:ascii="仿宋" w:hAnsi="仿宋" w:eastAsia="仿宋" w:cs="仿宋"/>
          <w:color w:val="auto"/>
          <w:sz w:val="28"/>
          <w:szCs w:val="28"/>
          <w:highlight w:val="none"/>
          <w:lang w:eastAsia="zh-CN"/>
        </w:rPr>
        <w:t>若因甲方工作需要或其他特殊情况，乙方必须配合</w:t>
      </w:r>
      <w:r>
        <w:rPr>
          <w:rFonts w:hint="eastAsia" w:ascii="仿宋" w:hAnsi="仿宋" w:eastAsia="仿宋" w:cs="仿宋"/>
          <w:color w:val="auto"/>
          <w:sz w:val="28"/>
          <w:szCs w:val="28"/>
          <w:highlight w:val="none"/>
          <w:lang w:val="en-US" w:eastAsia="zh-CN"/>
        </w:rPr>
        <w:t>甲方</w:t>
      </w:r>
      <w:r>
        <w:rPr>
          <w:rFonts w:hint="eastAsia" w:ascii="仿宋" w:hAnsi="仿宋" w:eastAsia="仿宋" w:cs="仿宋"/>
          <w:color w:val="auto"/>
          <w:sz w:val="28"/>
          <w:szCs w:val="28"/>
          <w:highlight w:val="none"/>
          <w:lang w:eastAsia="zh-CN"/>
        </w:rPr>
        <w:t>执行。</w:t>
      </w:r>
    </w:p>
    <w:p>
      <w:pPr>
        <w:pStyle w:val="2"/>
        <w:ind w:firstLine="280" w:firstLineChars="100"/>
        <w:rPr>
          <w:rFonts w:hint="eastAsia" w:eastAsia="仿宋"/>
          <w:color w:val="auto"/>
          <w:highlight w:val="none"/>
          <w:u w:val="single"/>
          <w:lang w:val="en-US" w:eastAsia="zh-CN"/>
        </w:rPr>
      </w:pPr>
      <w:r>
        <w:rPr>
          <w:rFonts w:hint="eastAsia" w:ascii="仿宋" w:hAnsi="仿宋" w:eastAsia="仿宋" w:cs="仿宋"/>
          <w:color w:val="auto"/>
          <w:sz w:val="28"/>
          <w:szCs w:val="28"/>
          <w:highlight w:val="none"/>
          <w:lang w:val="en-US" w:eastAsia="zh-CN"/>
        </w:rPr>
        <w:t>3、乙方服务人员休假，照国家相关规定和甲方实际工作需要，由乙方自主安排，但须向甲方报备。</w:t>
      </w:r>
    </w:p>
    <w:p>
      <w:pPr>
        <w:tabs>
          <w:tab w:val="left" w:pos="795"/>
        </w:tabs>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三</w:t>
      </w:r>
      <w:r>
        <w:rPr>
          <w:rFonts w:hint="eastAsia" w:ascii="仿宋" w:hAnsi="仿宋" w:eastAsia="仿宋" w:cs="仿宋"/>
          <w:b/>
          <w:color w:val="auto"/>
          <w:sz w:val="28"/>
          <w:szCs w:val="28"/>
          <w:highlight w:val="none"/>
        </w:rPr>
        <w:t>、合同履行期限</w:t>
      </w:r>
    </w:p>
    <w:p>
      <w:pPr>
        <w:tabs>
          <w:tab w:val="left" w:pos="780"/>
        </w:tabs>
        <w:spacing w:line="360" w:lineRule="auto"/>
        <w:ind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本合同履行期限自</w:t>
      </w:r>
      <w:r>
        <w:rPr>
          <w:rFonts w:hint="eastAsia" w:ascii="仿宋" w:hAnsi="仿宋" w:eastAsia="仿宋" w:cs="仿宋"/>
          <w:color w:val="auto"/>
          <w:sz w:val="28"/>
          <w:szCs w:val="28"/>
          <w:highlight w:val="none"/>
          <w:u w:val="none"/>
        </w:rPr>
        <w:t xml:space="preserve">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日起至</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none"/>
        </w:rPr>
        <w:t xml:space="preserve">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none"/>
          <w:lang w:val="en-US" w:eastAsia="zh-CN"/>
        </w:rPr>
        <w:t xml:space="preserve"> </w:t>
      </w:r>
      <w:r>
        <w:rPr>
          <w:rFonts w:hint="eastAsia" w:ascii="仿宋" w:hAnsi="仿宋" w:eastAsia="仿宋" w:cs="仿宋"/>
          <w:color w:val="auto"/>
          <w:sz w:val="28"/>
          <w:szCs w:val="28"/>
          <w:highlight w:val="none"/>
        </w:rPr>
        <w:t>月日止</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lang w:eastAsia="zh-CN"/>
        </w:rPr>
        <w:t>共计</w:t>
      </w:r>
      <w:r>
        <w:rPr>
          <w:rFonts w:hint="eastAsia" w:ascii="仿宋" w:hAnsi="仿宋" w:eastAsia="仿宋" w:cs="仿宋"/>
          <w:color w:val="auto"/>
          <w:sz w:val="28"/>
          <w:szCs w:val="28"/>
          <w:highlight w:val="none"/>
          <w:lang w:val="en-US" w:eastAsia="zh-CN"/>
        </w:rPr>
        <w:t>个月)</w:t>
      </w:r>
      <w:r>
        <w:rPr>
          <w:rFonts w:hint="eastAsia" w:ascii="仿宋" w:hAnsi="仿宋" w:eastAsia="仿宋" w:cs="仿宋"/>
          <w:color w:val="auto"/>
          <w:sz w:val="28"/>
          <w:szCs w:val="28"/>
          <w:highlight w:val="none"/>
          <w:lang w:eastAsia="zh-CN"/>
        </w:rPr>
        <w:t>。若遇</w:t>
      </w:r>
      <w:r>
        <w:rPr>
          <w:rFonts w:hint="eastAsia" w:ascii="仿宋" w:hAnsi="仿宋" w:eastAsia="仿宋" w:cs="仿宋"/>
          <w:color w:val="auto"/>
          <w:sz w:val="28"/>
          <w:szCs w:val="28"/>
          <w:highlight w:val="none"/>
        </w:rPr>
        <w:t>不可抗力事</w:t>
      </w:r>
      <w:r>
        <w:rPr>
          <w:rFonts w:hint="eastAsia" w:ascii="仿宋" w:hAnsi="仿宋" w:eastAsia="仿宋" w:cs="仿宋"/>
          <w:color w:val="auto"/>
          <w:sz w:val="28"/>
          <w:szCs w:val="28"/>
          <w:highlight w:val="none"/>
          <w:lang w:eastAsia="zh-CN"/>
        </w:rPr>
        <w:t>件</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lang w:eastAsia="zh-CN"/>
        </w:rPr>
        <w:t>如自然灾害、政府行为等</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rPr>
        <w:t>导致合同无法履行，合同自动终止。</w:t>
      </w:r>
    </w:p>
    <w:p>
      <w:pPr>
        <w:tabs>
          <w:tab w:val="left" w:pos="780"/>
        </w:tabs>
        <w:spacing w:line="360" w:lineRule="auto"/>
        <w:ind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2、本</w:t>
      </w:r>
      <w:r>
        <w:rPr>
          <w:rFonts w:hint="eastAsia" w:ascii="仿宋" w:hAnsi="仿宋" w:eastAsia="仿宋" w:cs="仿宋"/>
          <w:color w:val="auto"/>
          <w:sz w:val="28"/>
          <w:szCs w:val="28"/>
          <w:highlight w:val="none"/>
          <w:lang w:eastAsia="zh-CN"/>
        </w:rPr>
        <w:t>合同</w:t>
      </w:r>
      <w:r>
        <w:rPr>
          <w:rFonts w:hint="eastAsia" w:ascii="仿宋" w:hAnsi="仿宋" w:eastAsia="仿宋" w:cs="仿宋"/>
          <w:color w:val="auto"/>
          <w:sz w:val="28"/>
          <w:szCs w:val="28"/>
          <w:highlight w:val="none"/>
        </w:rPr>
        <w:t>期满后</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甲方若需继续托管，乙方在同等</w:t>
      </w:r>
      <w:r>
        <w:rPr>
          <w:rFonts w:hint="eastAsia" w:ascii="仿宋" w:hAnsi="仿宋" w:eastAsia="仿宋" w:cs="仿宋"/>
          <w:color w:val="auto"/>
          <w:sz w:val="28"/>
          <w:szCs w:val="28"/>
          <w:highlight w:val="none"/>
          <w:lang w:eastAsia="zh-CN"/>
        </w:rPr>
        <w:t>条件</w:t>
      </w:r>
      <w:r>
        <w:rPr>
          <w:rFonts w:hint="eastAsia" w:ascii="仿宋" w:hAnsi="仿宋" w:eastAsia="仿宋" w:cs="仿宋"/>
          <w:color w:val="auto"/>
          <w:sz w:val="28"/>
          <w:szCs w:val="28"/>
          <w:highlight w:val="none"/>
        </w:rPr>
        <w:t>基础上可优先续约。</w:t>
      </w:r>
    </w:p>
    <w:p>
      <w:pPr>
        <w:tabs>
          <w:tab w:val="left" w:pos="795"/>
        </w:tabs>
        <w:spacing w:line="360" w:lineRule="auto"/>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lang w:val="en-US" w:eastAsia="zh-CN"/>
        </w:rPr>
        <w:t>四</w:t>
      </w:r>
      <w:r>
        <w:rPr>
          <w:rFonts w:hint="eastAsia" w:ascii="仿宋" w:hAnsi="仿宋" w:eastAsia="仿宋" w:cs="仿宋"/>
          <w:b/>
          <w:bCs/>
          <w:color w:val="auto"/>
          <w:sz w:val="28"/>
          <w:szCs w:val="28"/>
          <w:highlight w:val="none"/>
        </w:rPr>
        <w:t>、</w:t>
      </w:r>
      <w:r>
        <w:rPr>
          <w:rFonts w:hint="eastAsia" w:ascii="仿宋" w:hAnsi="仿宋" w:eastAsia="仿宋" w:cs="仿宋"/>
          <w:b/>
          <w:bCs/>
          <w:color w:val="auto"/>
          <w:sz w:val="28"/>
          <w:szCs w:val="28"/>
          <w:highlight w:val="none"/>
          <w:lang w:eastAsia="zh-CN"/>
        </w:rPr>
        <w:t>服务</w:t>
      </w:r>
      <w:r>
        <w:rPr>
          <w:rFonts w:hint="eastAsia" w:ascii="仿宋" w:hAnsi="仿宋" w:eastAsia="仿宋" w:cs="仿宋"/>
          <w:b/>
          <w:bCs/>
          <w:color w:val="auto"/>
          <w:sz w:val="28"/>
          <w:szCs w:val="28"/>
          <w:highlight w:val="none"/>
        </w:rPr>
        <w:t>质量标准 </w:t>
      </w:r>
    </w:p>
    <w:p>
      <w:pPr>
        <w:tabs>
          <w:tab w:val="left" w:pos="690"/>
        </w:tabs>
        <w:spacing w:line="360" w:lineRule="auto"/>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具体</w:t>
      </w:r>
      <w:r>
        <w:rPr>
          <w:rFonts w:hint="eastAsia" w:ascii="仿宋" w:hAnsi="仿宋" w:eastAsia="仿宋" w:cs="仿宋"/>
          <w:color w:val="auto"/>
          <w:sz w:val="28"/>
          <w:szCs w:val="28"/>
          <w:highlight w:val="none"/>
        </w:rPr>
        <w:t>以</w:t>
      </w:r>
      <w:r>
        <w:rPr>
          <w:rFonts w:hint="eastAsia" w:ascii="仿宋" w:hAnsi="仿宋" w:eastAsia="仿宋" w:cs="仿宋"/>
          <w:color w:val="auto"/>
          <w:sz w:val="28"/>
          <w:szCs w:val="28"/>
          <w:highlight w:val="none"/>
          <w:lang w:val="en-US" w:eastAsia="zh-CN"/>
        </w:rPr>
        <w:t>本合同</w:t>
      </w:r>
      <w:r>
        <w:rPr>
          <w:rFonts w:hint="eastAsia" w:ascii="仿宋" w:hAnsi="仿宋" w:eastAsia="仿宋" w:cs="仿宋"/>
          <w:color w:val="auto"/>
          <w:sz w:val="28"/>
          <w:szCs w:val="28"/>
          <w:highlight w:val="none"/>
        </w:rPr>
        <w:t>附件</w:t>
      </w:r>
      <w:r>
        <w:rPr>
          <w:rFonts w:hint="eastAsia" w:ascii="微软雅黑" w:hAnsi="微软雅黑" w:eastAsia="微软雅黑" w:cs="微软雅黑"/>
          <w:color w:val="auto"/>
          <w:sz w:val="28"/>
          <w:szCs w:val="28"/>
          <w:highlight w:val="none"/>
          <w:lang w:eastAsia="zh-CN"/>
        </w:rPr>
        <w:t>《</w:t>
      </w:r>
      <w:r>
        <w:rPr>
          <w:rFonts w:hint="eastAsia" w:ascii="仿宋" w:hAnsi="仿宋" w:eastAsia="仿宋" w:cs="仿宋"/>
          <w:color w:val="auto"/>
          <w:sz w:val="28"/>
          <w:szCs w:val="28"/>
          <w:highlight w:val="none"/>
          <w:lang w:eastAsia="zh-CN"/>
        </w:rPr>
        <w:t>保洁维护评分手册</w:t>
      </w:r>
      <w:r>
        <w:rPr>
          <w:rFonts w:hint="eastAsia" w:ascii="微软雅黑" w:hAnsi="微软雅黑" w:eastAsia="微软雅黑" w:cs="微软雅黑"/>
          <w:color w:val="auto"/>
          <w:sz w:val="28"/>
          <w:szCs w:val="28"/>
          <w:highlight w:val="none"/>
          <w:lang w:eastAsia="zh-CN"/>
        </w:rPr>
        <w:t>》</w:t>
      </w:r>
      <w:r>
        <w:rPr>
          <w:rFonts w:hint="eastAsia" w:ascii="仿宋" w:hAnsi="仿宋" w:eastAsia="仿宋" w:cs="仿宋"/>
          <w:color w:val="auto"/>
          <w:sz w:val="28"/>
          <w:szCs w:val="28"/>
          <w:highlight w:val="none"/>
        </w:rPr>
        <w:t>为准。</w:t>
      </w:r>
    </w:p>
    <w:p>
      <w:pPr>
        <w:tabs>
          <w:tab w:val="left" w:pos="795"/>
        </w:tabs>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lang w:eastAsia="zh-CN"/>
        </w:rPr>
        <w:t>六</w:t>
      </w:r>
      <w:r>
        <w:rPr>
          <w:rFonts w:hint="eastAsia" w:ascii="仿宋" w:hAnsi="仿宋" w:eastAsia="仿宋" w:cs="仿宋"/>
          <w:b/>
          <w:color w:val="auto"/>
          <w:sz w:val="28"/>
          <w:szCs w:val="28"/>
          <w:highlight w:val="none"/>
        </w:rPr>
        <w:t>、</w:t>
      </w:r>
      <w:r>
        <w:rPr>
          <w:rFonts w:hint="eastAsia" w:ascii="仿宋" w:hAnsi="仿宋" w:eastAsia="仿宋" w:cs="仿宋"/>
          <w:b/>
          <w:color w:val="auto"/>
          <w:sz w:val="28"/>
          <w:szCs w:val="28"/>
          <w:highlight w:val="none"/>
          <w:lang w:val="en-US" w:eastAsia="zh-CN"/>
        </w:rPr>
        <w:t>甲乙</w:t>
      </w:r>
      <w:r>
        <w:rPr>
          <w:rFonts w:hint="eastAsia" w:ascii="仿宋" w:hAnsi="仿宋" w:eastAsia="仿宋" w:cs="仿宋"/>
          <w:b/>
          <w:color w:val="auto"/>
          <w:sz w:val="28"/>
          <w:szCs w:val="28"/>
          <w:highlight w:val="none"/>
        </w:rPr>
        <w:t>双方的权利和义务</w:t>
      </w:r>
    </w:p>
    <w:p>
      <w:pPr>
        <w:tabs>
          <w:tab w:val="left" w:pos="795"/>
        </w:tabs>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 xml:space="preserve">（一）甲方权利和义务 </w:t>
      </w:r>
    </w:p>
    <w:p>
      <w:pPr>
        <w:ind w:firstLine="280" w:firstLineChars="100"/>
        <w:rPr>
          <w:rFonts w:hint="eastAsia" w:ascii="仿宋" w:hAnsi="仿宋" w:eastAsia="仿宋" w:cs="仿宋"/>
          <w:b w:val="0"/>
          <w:bCs w:val="0"/>
          <w:color w:val="auto"/>
          <w:sz w:val="28"/>
          <w:szCs w:val="28"/>
          <w:highlight w:val="none"/>
          <w:u w:val="none"/>
          <w:lang w:val="en-US" w:eastAsia="zh-CN"/>
        </w:rPr>
      </w:pPr>
      <w:r>
        <w:rPr>
          <w:rFonts w:hint="eastAsia" w:ascii="仿宋" w:hAnsi="仿宋" w:eastAsia="仿宋" w:cs="仿宋"/>
          <w:b w:val="0"/>
          <w:bCs w:val="0"/>
          <w:color w:val="auto"/>
          <w:sz w:val="28"/>
          <w:szCs w:val="28"/>
          <w:highlight w:val="none"/>
          <w:u w:val="none"/>
          <w:lang w:val="en-US" w:eastAsia="zh-CN"/>
        </w:rPr>
        <w:t>1、有权根据实际需要，在合同范围内制订、修改保洁服务工作的内容范围、标准及各项检查制度。同时甲方有义务为乙方提供必要的工作条件，并给与乙方做好清洁管理工作必要支持。</w:t>
      </w:r>
    </w:p>
    <w:p>
      <w:pPr>
        <w:ind w:firstLine="280" w:firstLineChars="100"/>
        <w:rPr>
          <w:rFonts w:hint="eastAsia" w:ascii="仿宋" w:hAnsi="仿宋" w:eastAsia="仿宋" w:cs="仿宋"/>
          <w:b w:val="0"/>
          <w:bCs w:val="0"/>
          <w:color w:val="auto"/>
          <w:sz w:val="28"/>
          <w:szCs w:val="28"/>
          <w:highlight w:val="none"/>
          <w:u w:val="none"/>
          <w:lang w:val="en-US" w:eastAsia="zh-CN"/>
        </w:rPr>
      </w:pPr>
      <w:r>
        <w:rPr>
          <w:rFonts w:hint="eastAsia" w:ascii="仿宋" w:hAnsi="仿宋" w:eastAsia="仿宋" w:cs="仿宋"/>
          <w:b w:val="0"/>
          <w:bCs w:val="0"/>
          <w:color w:val="auto"/>
          <w:sz w:val="28"/>
          <w:szCs w:val="28"/>
          <w:highlight w:val="none"/>
          <w:u w:val="none"/>
          <w:lang w:val="en-US" w:eastAsia="zh-CN"/>
        </w:rPr>
        <w:t>2、甲方需在项目内设置适量的垃圾桶。</w:t>
      </w:r>
    </w:p>
    <w:p>
      <w:pPr>
        <w:ind w:firstLine="280" w:firstLineChars="100"/>
        <w:rPr>
          <w:rFonts w:hint="eastAsia" w:ascii="仿宋" w:hAnsi="仿宋" w:eastAsia="仿宋" w:cs="仿宋"/>
          <w:b w:val="0"/>
          <w:bCs w:val="0"/>
          <w:color w:val="auto"/>
          <w:sz w:val="28"/>
          <w:szCs w:val="28"/>
          <w:highlight w:val="none"/>
          <w:u w:val="none"/>
          <w:lang w:val="en-US" w:eastAsia="zh-CN"/>
        </w:rPr>
      </w:pPr>
      <w:r>
        <w:rPr>
          <w:rFonts w:hint="eastAsia" w:ascii="仿宋" w:hAnsi="仿宋" w:eastAsia="仿宋" w:cs="仿宋"/>
          <w:b w:val="0"/>
          <w:bCs w:val="0"/>
          <w:color w:val="auto"/>
          <w:sz w:val="28"/>
          <w:szCs w:val="28"/>
          <w:highlight w:val="none"/>
          <w:u w:val="none"/>
          <w:lang w:val="en-US" w:eastAsia="zh-CN"/>
        </w:rPr>
        <w:t>3、甲方负责免费给乙方提供清洁用水、用电、物料和工具存放间及休息室，便于乙方的操作和管理。乙方对自己的人身、财产安全负责，甲方不对乙方的人员伤害、物品遗失、被盗或发生损毁等承担任何责任或连带责任；造成甲方损失的，乙方负责赔偿。</w:t>
      </w:r>
    </w:p>
    <w:p>
      <w:pPr>
        <w:ind w:firstLine="280" w:firstLineChars="100"/>
        <w:rPr>
          <w:rFonts w:hint="eastAsia" w:ascii="仿宋" w:hAnsi="仿宋" w:eastAsia="仿宋" w:cs="仿宋"/>
          <w:b w:val="0"/>
          <w:bCs w:val="0"/>
          <w:color w:val="auto"/>
          <w:sz w:val="28"/>
          <w:szCs w:val="28"/>
          <w:highlight w:val="none"/>
          <w:u w:val="none"/>
          <w:lang w:val="en-US" w:eastAsia="zh-CN"/>
        </w:rPr>
      </w:pPr>
      <w:r>
        <w:rPr>
          <w:rFonts w:hint="eastAsia" w:ascii="仿宋" w:hAnsi="仿宋" w:eastAsia="仿宋" w:cs="仿宋"/>
          <w:b w:val="0"/>
          <w:bCs w:val="0"/>
          <w:color w:val="auto"/>
          <w:sz w:val="28"/>
          <w:szCs w:val="28"/>
          <w:highlight w:val="none"/>
          <w:u w:val="none"/>
          <w:lang w:val="en-US" w:eastAsia="zh-CN"/>
        </w:rPr>
        <w:t>4、在乙方对甲方考核表完成确认、甲方书面确认乙方上一个月的保洁服务工作完成情况并扣减上月应扣减的相关费用和违约金、赔偿金后支付上一个月费用给乙方。清洁服务费的支付方式为银行转账或现金支付。甲方无正当理由不能按约支付费用，每天按上月欠付的清洁承揽费用万分之三支付违约金。</w:t>
      </w:r>
    </w:p>
    <w:p>
      <w:pPr>
        <w:ind w:firstLine="280" w:firstLineChars="100"/>
        <w:rPr>
          <w:rFonts w:hint="eastAsia" w:ascii="仿宋" w:hAnsi="仿宋" w:eastAsia="仿宋" w:cs="仿宋"/>
          <w:b w:val="0"/>
          <w:bCs w:val="0"/>
          <w:color w:val="auto"/>
          <w:sz w:val="28"/>
          <w:szCs w:val="28"/>
          <w:highlight w:val="none"/>
          <w:u w:val="none"/>
          <w:lang w:val="en-US" w:eastAsia="zh-CN"/>
        </w:rPr>
      </w:pPr>
      <w:r>
        <w:rPr>
          <w:rFonts w:hint="eastAsia" w:ascii="仿宋" w:hAnsi="仿宋" w:eastAsia="仿宋" w:cs="仿宋"/>
          <w:b w:val="0"/>
          <w:bCs w:val="0"/>
          <w:color w:val="auto"/>
          <w:sz w:val="28"/>
          <w:szCs w:val="28"/>
          <w:highlight w:val="none"/>
          <w:u w:val="none"/>
          <w:lang w:val="en-US" w:eastAsia="zh-CN"/>
        </w:rPr>
        <w:t>5、乙方应按照甲乙双方认可的《保洁工作计划》完成保洁各项工作内容，如发生保洁工作项目应完成而未完成的，且未得到甲方认可的，每发生一项，甲方有权约谈乙方相关管理人员要求限时整改，验收未达标的，甲方按相应月合同金额的0.5%给予乙方处罚。</w:t>
      </w:r>
    </w:p>
    <w:p>
      <w:pPr>
        <w:ind w:firstLine="280" w:firstLineChars="100"/>
        <w:rPr>
          <w:rFonts w:hint="eastAsia" w:ascii="仿宋" w:hAnsi="仿宋" w:eastAsia="仿宋" w:cs="仿宋"/>
          <w:b w:val="0"/>
          <w:bCs w:val="0"/>
          <w:color w:val="auto"/>
          <w:sz w:val="28"/>
          <w:szCs w:val="28"/>
          <w:highlight w:val="none"/>
          <w:u w:val="none"/>
          <w:lang w:val="en-US" w:eastAsia="zh-CN"/>
        </w:rPr>
      </w:pPr>
      <w:r>
        <w:rPr>
          <w:rFonts w:hint="eastAsia" w:ascii="仿宋" w:hAnsi="仿宋" w:eastAsia="仿宋" w:cs="仿宋"/>
          <w:b w:val="0"/>
          <w:bCs w:val="0"/>
          <w:color w:val="auto"/>
          <w:sz w:val="28"/>
          <w:szCs w:val="28"/>
          <w:highlight w:val="none"/>
          <w:u w:val="none"/>
          <w:lang w:val="en-US" w:eastAsia="zh-CN"/>
        </w:rPr>
        <w:t>6、甲方每月进行品质检查,对乙方进行考核且考核合格</w:t>
      </w:r>
      <w:r>
        <w:rPr>
          <w:rFonts w:hint="eastAsia" w:ascii="仿宋" w:hAnsi="仿宋" w:eastAsia="仿宋" w:cs="仿宋"/>
          <w:b w:val="0"/>
          <w:bCs w:val="0"/>
          <w:color w:val="auto"/>
          <w:sz w:val="28"/>
          <w:szCs w:val="28"/>
          <w:highlight w:val="none"/>
          <w:u w:val="single"/>
          <w:lang w:val="en-US" w:eastAsia="zh-CN"/>
        </w:rPr>
        <w:t>分值</w:t>
      </w:r>
      <w:r>
        <w:rPr>
          <w:rFonts w:hint="eastAsia" w:ascii="仿宋" w:hAnsi="仿宋" w:eastAsia="仿宋" w:cs="仿宋"/>
          <w:b w:val="0"/>
          <w:bCs w:val="0"/>
          <w:color w:val="auto"/>
          <w:sz w:val="28"/>
          <w:szCs w:val="28"/>
          <w:highlight w:val="none"/>
          <w:u w:val="none"/>
          <w:lang w:val="en-US" w:eastAsia="zh-CN"/>
        </w:rPr>
        <w:t>应不低于</w:t>
      </w:r>
      <w:r>
        <w:rPr>
          <w:rFonts w:hint="eastAsia" w:ascii="仿宋" w:hAnsi="仿宋" w:eastAsia="仿宋" w:cs="仿宋"/>
          <w:b w:val="0"/>
          <w:bCs w:val="0"/>
          <w:color w:val="auto"/>
          <w:sz w:val="28"/>
          <w:szCs w:val="28"/>
          <w:highlight w:val="none"/>
          <w:u w:val="single"/>
          <w:lang w:val="en-US" w:eastAsia="zh-CN"/>
        </w:rPr>
        <w:t>85分</w:t>
      </w:r>
      <w:r>
        <w:rPr>
          <w:rFonts w:hint="eastAsia" w:ascii="仿宋" w:hAnsi="仿宋" w:eastAsia="仿宋" w:cs="仿宋"/>
          <w:b w:val="0"/>
          <w:bCs w:val="0"/>
          <w:color w:val="auto"/>
          <w:sz w:val="28"/>
          <w:szCs w:val="28"/>
          <w:highlight w:val="none"/>
          <w:u w:val="none"/>
          <w:lang w:val="en-US" w:eastAsia="zh-CN"/>
        </w:rPr>
        <w:t>(考核标准详见本合同附件)，乙方现场人员对考核表确认，乙方现场人员的确认视为乙方确认，每低于一个百分点扣除当月费用的</w:t>
      </w:r>
      <w:r>
        <w:rPr>
          <w:rFonts w:hint="eastAsia" w:ascii="仿宋" w:hAnsi="仿宋" w:eastAsia="仿宋" w:cs="仿宋"/>
          <w:b w:val="0"/>
          <w:bCs w:val="0"/>
          <w:color w:val="auto"/>
          <w:sz w:val="28"/>
          <w:szCs w:val="28"/>
          <w:highlight w:val="none"/>
          <w:u w:val="single"/>
          <w:lang w:val="en-US" w:eastAsia="zh-CN"/>
        </w:rPr>
        <w:t>1.5</w:t>
      </w:r>
      <w:r>
        <w:rPr>
          <w:rFonts w:hint="eastAsia" w:ascii="仿宋" w:hAnsi="仿宋" w:eastAsia="仿宋" w:cs="仿宋"/>
          <w:b w:val="0"/>
          <w:bCs w:val="0"/>
          <w:color w:val="auto"/>
          <w:sz w:val="28"/>
          <w:szCs w:val="28"/>
          <w:highlight w:val="none"/>
          <w:u w:val="none"/>
          <w:lang w:val="en-US" w:eastAsia="zh-CN"/>
        </w:rPr>
        <w:t>%，若连续两个月甲方对乙方的合格分值考评低于80分或乙方未按甲方要求的时间和质量整改，则甲方有权利单方面解除合同终止合作，甲方无需支付乙方违约期间的费用及相关补偿。</w:t>
      </w:r>
    </w:p>
    <w:p>
      <w:pPr>
        <w:tabs>
          <w:tab w:val="left" w:pos="795"/>
        </w:tabs>
        <w:spacing w:line="360" w:lineRule="auto"/>
        <w:ind w:firstLine="280" w:firstLineChars="100"/>
        <w:rPr>
          <w:rFonts w:hint="eastAsia"/>
          <w:color w:val="auto"/>
          <w:highlight w:val="none"/>
          <w:lang w:val="en-US" w:eastAsia="zh-CN"/>
        </w:rPr>
      </w:pP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甲方负责提供保洁所须的工具和物料，包括但不限于无尘排拖、吸水拖布、单面刮玻器、铲刀、毛巾、塑料套扫、厕刷、垃圾桶及大小垃圾袋等；负责提供服务人员服装。</w:t>
      </w:r>
    </w:p>
    <w:p>
      <w:pPr>
        <w:tabs>
          <w:tab w:val="left" w:pos="795"/>
        </w:tabs>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（二）乙方权利和义务</w:t>
      </w:r>
    </w:p>
    <w:p>
      <w:pPr>
        <w:ind w:firstLine="280" w:firstLineChars="10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1、乙方必须遵守《民法典》及《劳动合同法》的规定，保证合法用工，选派素质较、服务态度好、经过培训的服务人员进驻承揽项目工作。</w:t>
      </w:r>
    </w:p>
    <w:p>
      <w:pPr>
        <w:ind w:firstLine="280" w:firstLineChars="10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2、乙方服务人员的服饰(甲方提供)必须统一，必须清楚标示“东辰物业”且佩带铭牌，接受客户对工作的监督以提高服务质量。</w:t>
      </w:r>
    </w:p>
    <w:p>
      <w:pPr>
        <w:ind w:firstLine="280" w:firstLineChars="10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3 、乙方派出的人员，按合同所规定的保洁范围和标准，必须作到文明操作，保质、保量完成清洁工作，不得擅自进出与本合同范围无关的场所(经甲方同意除外)。</w:t>
      </w:r>
    </w:p>
    <w:p>
      <w:pPr>
        <w:ind w:firstLine="280" w:firstLineChars="10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4、乙方工作人员在工作中发生</w:t>
      </w:r>
      <w:r>
        <w:rPr>
          <w:rFonts w:hint="eastAsia" w:ascii="仿宋" w:hAnsi="仿宋" w:eastAsia="仿宋" w:cs="仿宋"/>
          <w:b w:val="0"/>
          <w:bCs w:val="0"/>
          <w:color w:val="auto"/>
          <w:sz w:val="28"/>
          <w:szCs w:val="28"/>
          <w:highlight w:val="none"/>
          <w:u w:val="single"/>
          <w:lang w:val="en-US" w:eastAsia="zh-CN"/>
        </w:rPr>
        <w:t>工伤等安全</w:t>
      </w:r>
      <w:r>
        <w:rPr>
          <w:rFonts w:hint="eastAsia" w:ascii="仿宋" w:hAnsi="仿宋" w:eastAsia="仿宋" w:cs="仿宋"/>
          <w:b w:val="0"/>
          <w:bCs w:val="0"/>
          <w:color w:val="auto"/>
          <w:sz w:val="28"/>
          <w:szCs w:val="28"/>
          <w:highlight w:val="none"/>
          <w:lang w:val="en-US" w:eastAsia="zh-CN"/>
        </w:rPr>
        <w:t>事故或做出违法行为、或乙方在劳动用工过程中发生违法行为，由此造成的一切经济与法律责任全部由乙方承担，甲方不承担任何连带责任。对甲方或第三方造成损害的，乙方应承担赔偿责任。</w:t>
      </w:r>
    </w:p>
    <w:p>
      <w:pPr>
        <w:ind w:firstLine="280" w:firstLineChars="10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5 、乙方负责教育所属人员严守有关安全作业规定，在保洁区域应设置明显的警示标志。</w:t>
      </w:r>
    </w:p>
    <w:p>
      <w:pPr>
        <w:ind w:firstLine="280" w:firstLineChars="10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6 、乙方必须按照合同附件规定的考核项目，接受各项相应工作计划，甲方根据计划实施监督检查。</w:t>
      </w:r>
    </w:p>
    <w:p>
      <w:pPr>
        <w:ind w:firstLine="280" w:firstLineChars="10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7 、如遇相关部门和机构的检查，乙方应全力配合甲方接受迎检工作。</w:t>
      </w:r>
    </w:p>
    <w:p>
      <w:pPr>
        <w:numPr>
          <w:ilvl w:val="0"/>
          <w:numId w:val="7"/>
        </w:numPr>
        <w:ind w:firstLine="280" w:firstLineChars="10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为确保工作质量，乙方派驻现场服务人员年龄不得大于60岁，工资不得低于  元/月.人</w:t>
      </w:r>
      <w:r>
        <w:rPr>
          <w:rFonts w:hint="eastAsia" w:ascii="仿宋" w:hAnsi="仿宋" w:eastAsia="仿宋" w:cs="仿宋"/>
          <w:b w:val="0"/>
          <w:bCs w:val="0"/>
          <w:color w:val="auto"/>
          <w:sz w:val="28"/>
          <w:szCs w:val="28"/>
          <w:highlight w:val="none"/>
          <w:u w:val="none"/>
          <w:lang w:val="en-US" w:eastAsia="zh-CN"/>
        </w:rPr>
        <w:t>(</w:t>
      </w:r>
      <w:r>
        <w:rPr>
          <w:rFonts w:hint="eastAsia" w:ascii="仿宋" w:hAnsi="仿宋" w:eastAsia="仿宋" w:cs="仿宋"/>
          <w:b w:val="0"/>
          <w:bCs w:val="0"/>
          <w:color w:val="auto"/>
          <w:sz w:val="28"/>
          <w:szCs w:val="28"/>
          <w:highlight w:val="none"/>
          <w:u w:val="single"/>
          <w:lang w:val="en-US" w:eastAsia="zh-CN"/>
        </w:rPr>
        <w:t>退休返聘人员由乙方依法自行商定</w:t>
      </w:r>
      <w:r>
        <w:rPr>
          <w:rFonts w:hint="eastAsia" w:ascii="仿宋" w:hAnsi="仿宋" w:eastAsia="仿宋" w:cs="仿宋"/>
          <w:b w:val="0"/>
          <w:bCs w:val="0"/>
          <w:color w:val="auto"/>
          <w:sz w:val="28"/>
          <w:szCs w:val="28"/>
          <w:highlight w:val="none"/>
          <w:u w:val="none"/>
          <w:lang w:val="en-US" w:eastAsia="zh-CN"/>
        </w:rPr>
        <w:t>)</w:t>
      </w:r>
      <w:r>
        <w:rPr>
          <w:rFonts w:hint="eastAsia" w:ascii="仿宋" w:hAnsi="仿宋" w:eastAsia="仿宋" w:cs="仿宋"/>
          <w:b w:val="0"/>
          <w:bCs w:val="0"/>
          <w:color w:val="auto"/>
          <w:sz w:val="28"/>
          <w:szCs w:val="28"/>
          <w:highlight w:val="none"/>
          <w:lang w:val="en-US" w:eastAsia="zh-CN"/>
        </w:rPr>
        <w:t>。</w:t>
      </w:r>
      <w:r>
        <w:rPr>
          <w:rFonts w:hint="eastAsia" w:ascii="仿宋" w:hAnsi="仿宋" w:eastAsia="仿宋" w:cs="仿宋"/>
          <w:color w:val="auto"/>
          <w:sz w:val="28"/>
          <w:szCs w:val="28"/>
          <w:highlight w:val="none"/>
        </w:rPr>
        <w:t>乙方与乙方服务人员发生的包括但不限于欠付工资、费用等任何纠纷，均由乙方自行负责，甲方概不承担任何责任。</w:t>
      </w:r>
      <w:r>
        <w:rPr>
          <w:rFonts w:hint="eastAsia" w:ascii="仿宋" w:hAnsi="仿宋" w:eastAsia="仿宋" w:cs="仿宋"/>
          <w:color w:val="auto"/>
          <w:sz w:val="28"/>
          <w:szCs w:val="28"/>
          <w:highlight w:val="none"/>
          <w:lang w:eastAsia="zh-CN"/>
        </w:rPr>
        <w:t>乙方必须在每月</w:t>
      </w:r>
      <w:r>
        <w:rPr>
          <w:rFonts w:hint="eastAsia" w:ascii="仿宋" w:hAnsi="仿宋" w:eastAsia="仿宋" w:cs="仿宋"/>
          <w:color w:val="auto"/>
          <w:sz w:val="28"/>
          <w:szCs w:val="28"/>
          <w:highlight w:val="none"/>
          <w:lang w:val="en-US" w:eastAsia="zh-CN"/>
        </w:rPr>
        <w:t>20号之前支付员工上月工资，否则甲方有权扣除乙方当月承包费直接支付给其员工</w:t>
      </w:r>
      <w:r>
        <w:rPr>
          <w:rFonts w:hint="eastAsia" w:ascii="仿宋" w:hAnsi="仿宋" w:eastAsia="仿宋" w:cs="仿宋"/>
          <w:color w:val="auto"/>
          <w:sz w:val="28"/>
          <w:szCs w:val="28"/>
          <w:highlight w:val="none"/>
        </w:rPr>
        <w:t>。</w:t>
      </w:r>
    </w:p>
    <w:p>
      <w:pPr>
        <w:numPr>
          <w:ilvl w:val="0"/>
          <w:numId w:val="7"/>
        </w:numPr>
        <w:ind w:firstLine="280" w:firstLineChars="10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乙方需确保现场清洁设备的正常使用，如设备损坏乙方须及时更换或修理，所产生的费用由乙方承担。</w:t>
      </w:r>
    </w:p>
    <w:p>
      <w:pPr>
        <w:ind w:firstLine="280" w:firstLineChars="10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10 、如发生突发事件(包括但不限于大风暴雨等灾害性天气)，乙方应在接到甲方通知后2小时内安排充足的人员参加突击抢险清洁的工作，以确保承揽项目能正常运营。</w:t>
      </w:r>
    </w:p>
    <w:p>
      <w:pPr>
        <w:numPr>
          <w:ilvl w:val="0"/>
          <w:numId w:val="8"/>
        </w:numPr>
        <w:adjustRightInd w:val="0"/>
        <w:snapToGrid w:val="0"/>
        <w:spacing w:line="360" w:lineRule="auto"/>
        <w:ind w:firstLine="560" w:firstLineChars="200"/>
        <w:rPr>
          <w:rFonts w:hint="eastAsia" w:ascii="仿宋" w:hAnsi="仿宋" w:eastAsia="仿宋" w:cs="仿宋"/>
          <w:b w:val="0"/>
          <w:bCs w:val="0"/>
          <w:color w:val="auto"/>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承包费用</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根据承包项目日常清洁</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绿化</w:t>
      </w:r>
      <w:r>
        <w:rPr>
          <w:rFonts w:hint="eastAsia" w:ascii="仿宋" w:hAnsi="仿宋" w:eastAsia="仿宋" w:cs="仿宋"/>
          <w:color w:val="auto"/>
          <w:sz w:val="28"/>
          <w:szCs w:val="28"/>
          <w:highlight w:val="none"/>
        </w:rPr>
        <w:t>保养的服务内容需要，甲方按照乙方实际参与保洁</w:t>
      </w:r>
      <w:r>
        <w:rPr>
          <w:rFonts w:hint="eastAsia" w:ascii="仿宋" w:hAnsi="仿宋" w:eastAsia="仿宋" w:cs="仿宋"/>
          <w:color w:val="auto"/>
          <w:sz w:val="28"/>
          <w:szCs w:val="28"/>
          <w:highlight w:val="none"/>
          <w:lang w:val="en-US" w:eastAsia="zh-CN"/>
        </w:rPr>
        <w:t>绿化</w:t>
      </w:r>
      <w:r>
        <w:rPr>
          <w:rFonts w:hint="eastAsia" w:ascii="仿宋" w:hAnsi="仿宋" w:eastAsia="仿宋" w:cs="仿宋"/>
          <w:color w:val="auto"/>
          <w:sz w:val="28"/>
          <w:szCs w:val="28"/>
          <w:highlight w:val="none"/>
        </w:rPr>
        <w:t>服务的出勤人数、材料费、管理费、税费等合计每月支付</w:t>
      </w:r>
      <w:r>
        <w:rPr>
          <w:rFonts w:hint="eastAsia" w:ascii="仿宋" w:hAnsi="仿宋" w:eastAsia="仿宋" w:cs="仿宋"/>
          <w:color w:val="auto"/>
          <w:sz w:val="28"/>
          <w:szCs w:val="28"/>
          <w:highlight w:val="none"/>
          <w:lang w:val="en-US" w:eastAsia="zh-CN"/>
        </w:rPr>
        <w:t xml:space="preserve">      元 </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大</w:t>
      </w:r>
      <w:r>
        <w:rPr>
          <w:rFonts w:hint="eastAsia" w:ascii="仿宋" w:hAnsi="仿宋" w:eastAsia="仿宋" w:cs="仿宋"/>
          <w:color w:val="auto"/>
          <w:sz w:val="28"/>
          <w:szCs w:val="28"/>
          <w:highlight w:val="none"/>
        </w:rPr>
        <w:t>写：¥</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元/月）</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每月根据乙方实际出勤人员数量和出勤情况办理结算。</w:t>
      </w:r>
    </w:p>
    <w:p>
      <w:pPr>
        <w:adjustRightInd w:val="0"/>
        <w:snapToGrid w:val="0"/>
        <w:spacing w:line="360" w:lineRule="auto"/>
        <w:rPr>
          <w:rFonts w:hint="eastAsia" w:ascii="仿宋" w:hAnsi="仿宋" w:eastAsia="仿宋" w:cs="仿宋"/>
          <w:b w:val="0"/>
          <w:bCs w:val="0"/>
          <w:color w:val="auto"/>
          <w:sz w:val="28"/>
          <w:szCs w:val="28"/>
          <w:highlight w:val="none"/>
          <w:u w:val="single"/>
          <w:lang w:val="en-US" w:eastAsia="zh-CN"/>
        </w:rPr>
      </w:pPr>
      <w:r>
        <w:rPr>
          <w:rFonts w:hint="eastAsia" w:ascii="仿宋" w:hAnsi="仿宋" w:eastAsia="仿宋" w:cs="仿宋"/>
          <w:b w:val="0"/>
          <w:bCs w:val="0"/>
          <w:color w:val="auto"/>
          <w:sz w:val="28"/>
          <w:szCs w:val="28"/>
          <w:highlight w:val="none"/>
          <w:lang w:val="en-US" w:eastAsia="zh-CN"/>
        </w:rPr>
        <w:t>本合同(个月)总计费用:元，大写：。</w:t>
      </w:r>
      <w:r>
        <w:rPr>
          <w:rFonts w:hint="eastAsia" w:ascii="仿宋" w:hAnsi="仿宋" w:eastAsia="仿宋" w:cs="仿宋"/>
          <w:b w:val="0"/>
          <w:bCs w:val="0"/>
          <w:color w:val="auto"/>
          <w:sz w:val="28"/>
          <w:szCs w:val="28"/>
          <w:highlight w:val="none"/>
          <w:u w:val="single"/>
          <w:lang w:val="en-US" w:eastAsia="zh-CN"/>
        </w:rPr>
        <w:t>税率按国家规定的最新政策执行。</w:t>
      </w:r>
    </w:p>
    <w:p>
      <w:pPr>
        <w:adjustRightInd w:val="0"/>
        <w:snapToGrid w:val="0"/>
        <w:spacing w:line="360" w:lineRule="auto"/>
        <w:ind w:firstLine="562" w:firstLineChars="200"/>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lang w:eastAsia="zh-CN"/>
        </w:rPr>
        <w:t>八</w:t>
      </w:r>
      <w:r>
        <w:rPr>
          <w:rFonts w:hint="eastAsia" w:ascii="仿宋" w:hAnsi="仿宋" w:eastAsia="仿宋" w:cs="仿宋"/>
          <w:b/>
          <w:color w:val="auto"/>
          <w:sz w:val="28"/>
          <w:szCs w:val="28"/>
          <w:highlight w:val="none"/>
        </w:rPr>
        <w:t>、付款方式</w:t>
      </w:r>
    </w:p>
    <w:p>
      <w:pPr>
        <w:tabs>
          <w:tab w:val="left" w:pos="480"/>
        </w:tabs>
        <w:spacing w:line="360" w:lineRule="auto"/>
        <w:ind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1、甲方按</w:t>
      </w:r>
      <w:r>
        <w:rPr>
          <w:rFonts w:hint="eastAsia" w:ascii="仿宋" w:hAnsi="仿宋" w:eastAsia="仿宋" w:cs="仿宋"/>
          <w:color w:val="auto"/>
          <w:sz w:val="28"/>
          <w:szCs w:val="28"/>
          <w:highlight w:val="none"/>
          <w:u w:val="single"/>
          <w:lang w:val="en-US" w:eastAsia="zh-CN"/>
        </w:rPr>
        <w:t>月</w:t>
      </w:r>
      <w:r>
        <w:rPr>
          <w:rFonts w:hint="eastAsia" w:ascii="仿宋" w:hAnsi="仿宋" w:eastAsia="仿宋" w:cs="仿宋"/>
          <w:color w:val="auto"/>
          <w:sz w:val="28"/>
          <w:szCs w:val="28"/>
          <w:highlight w:val="none"/>
        </w:rPr>
        <w:t>支付乙方保洁</w:t>
      </w:r>
      <w:r>
        <w:rPr>
          <w:rFonts w:hint="eastAsia" w:ascii="仿宋" w:hAnsi="仿宋" w:eastAsia="仿宋" w:cs="仿宋"/>
          <w:color w:val="auto"/>
          <w:sz w:val="28"/>
          <w:szCs w:val="28"/>
          <w:highlight w:val="none"/>
          <w:lang w:eastAsia="zh-CN"/>
        </w:rPr>
        <w:t>服务</w:t>
      </w:r>
      <w:r>
        <w:rPr>
          <w:rFonts w:hint="eastAsia" w:ascii="仿宋" w:hAnsi="仿宋" w:eastAsia="仿宋" w:cs="仿宋"/>
          <w:color w:val="auto"/>
          <w:sz w:val="28"/>
          <w:szCs w:val="28"/>
          <w:highlight w:val="none"/>
        </w:rPr>
        <w:t>费用。乙方</w:t>
      </w:r>
      <w:r>
        <w:rPr>
          <w:rFonts w:hint="eastAsia" w:ascii="仿宋" w:hAnsi="仿宋" w:eastAsia="仿宋" w:cs="仿宋"/>
          <w:color w:val="auto"/>
          <w:sz w:val="28"/>
          <w:szCs w:val="28"/>
          <w:highlight w:val="none"/>
          <w:lang w:val="en-US" w:eastAsia="zh-CN"/>
        </w:rPr>
        <w:t>在甲方付款前向甲方</w:t>
      </w:r>
      <w:r>
        <w:rPr>
          <w:rFonts w:hint="eastAsia" w:ascii="仿宋" w:hAnsi="仿宋" w:eastAsia="仿宋" w:cs="仿宋"/>
          <w:color w:val="auto"/>
          <w:sz w:val="28"/>
          <w:szCs w:val="28"/>
          <w:highlight w:val="none"/>
          <w:lang w:eastAsia="zh-CN"/>
        </w:rPr>
        <w:t>提供合规有效增值税专用发票</w:t>
      </w:r>
      <w:r>
        <w:rPr>
          <w:rFonts w:hint="eastAsia" w:ascii="仿宋" w:hAnsi="仿宋" w:eastAsia="仿宋" w:cs="仿宋"/>
          <w:color w:val="auto"/>
          <w:sz w:val="28"/>
          <w:szCs w:val="28"/>
          <w:highlight w:val="none"/>
        </w:rPr>
        <w:t>。</w:t>
      </w:r>
    </w:p>
    <w:p>
      <w:pPr>
        <w:tabs>
          <w:tab w:val="left" w:pos="480"/>
        </w:tabs>
        <w:spacing w:line="360" w:lineRule="auto"/>
        <w:ind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w:t>
      </w:r>
      <w:r>
        <w:rPr>
          <w:rFonts w:hint="eastAsia" w:ascii="仿宋" w:hAnsi="仿宋" w:eastAsia="仿宋" w:cs="仿宋"/>
          <w:color w:val="auto"/>
          <w:sz w:val="28"/>
          <w:szCs w:val="28"/>
          <w:highlight w:val="none"/>
          <w:lang w:val="en-US" w:eastAsia="zh-CN"/>
        </w:rPr>
        <w:t>本</w:t>
      </w:r>
      <w:r>
        <w:rPr>
          <w:rFonts w:hint="eastAsia" w:ascii="仿宋" w:hAnsi="仿宋" w:eastAsia="仿宋" w:cs="仿宋"/>
          <w:color w:val="auto"/>
          <w:sz w:val="28"/>
          <w:szCs w:val="28"/>
          <w:highlight w:val="none"/>
        </w:rPr>
        <w:t>合同生效</w:t>
      </w:r>
      <w:r>
        <w:rPr>
          <w:rFonts w:hint="eastAsia" w:ascii="仿宋" w:hAnsi="仿宋" w:eastAsia="仿宋" w:cs="仿宋"/>
          <w:color w:val="auto"/>
          <w:sz w:val="28"/>
          <w:szCs w:val="28"/>
          <w:highlight w:val="none"/>
          <w:lang w:val="en-US" w:eastAsia="zh-CN"/>
        </w:rPr>
        <w:t>后</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甲方按照约定在</w:t>
      </w:r>
      <w:r>
        <w:rPr>
          <w:rFonts w:hint="eastAsia" w:ascii="仿宋" w:hAnsi="仿宋" w:eastAsia="仿宋" w:cs="仿宋"/>
          <w:color w:val="auto"/>
          <w:sz w:val="28"/>
          <w:szCs w:val="28"/>
          <w:highlight w:val="none"/>
        </w:rPr>
        <w:t>收到乙方发票</w:t>
      </w:r>
      <w:r>
        <w:rPr>
          <w:rFonts w:hint="eastAsia" w:ascii="仿宋" w:hAnsi="仿宋" w:eastAsia="仿宋" w:cs="仿宋"/>
          <w:color w:val="auto"/>
          <w:sz w:val="28"/>
          <w:szCs w:val="28"/>
          <w:highlight w:val="none"/>
          <w:lang w:val="en-US" w:eastAsia="zh-CN"/>
        </w:rPr>
        <w:t>后</w:t>
      </w:r>
      <w:r>
        <w:rPr>
          <w:rFonts w:hint="eastAsia" w:ascii="仿宋" w:hAnsi="仿宋" w:eastAsia="仿宋" w:cs="仿宋"/>
          <w:color w:val="auto"/>
          <w:sz w:val="28"/>
          <w:szCs w:val="28"/>
          <w:highlight w:val="none"/>
          <w:u w:val="single"/>
        </w:rPr>
        <w:t>15</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eastAsia="zh-CN"/>
        </w:rPr>
        <w:t>内</w:t>
      </w:r>
      <w:r>
        <w:rPr>
          <w:rFonts w:hint="eastAsia" w:ascii="仿宋" w:hAnsi="仿宋" w:eastAsia="仿宋" w:cs="仿宋"/>
          <w:color w:val="auto"/>
          <w:sz w:val="28"/>
          <w:szCs w:val="28"/>
          <w:highlight w:val="none"/>
        </w:rPr>
        <w:t>以转账方式</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rPr>
        <w:t>如遇休息日或节假日，付款日期顺延</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lang w:eastAsia="zh-CN"/>
        </w:rPr>
        <w:t>一次性</w:t>
      </w:r>
      <w:r>
        <w:rPr>
          <w:rFonts w:hint="eastAsia" w:ascii="仿宋" w:hAnsi="仿宋" w:eastAsia="仿宋" w:cs="仿宋"/>
          <w:color w:val="auto"/>
          <w:sz w:val="28"/>
          <w:szCs w:val="28"/>
          <w:highlight w:val="none"/>
        </w:rPr>
        <w:t>全额向乙方支付上</w:t>
      </w:r>
      <w:r>
        <w:rPr>
          <w:rFonts w:hint="eastAsia" w:ascii="仿宋" w:hAnsi="仿宋" w:eastAsia="仿宋" w:cs="仿宋"/>
          <w:color w:val="auto"/>
          <w:sz w:val="28"/>
          <w:szCs w:val="28"/>
          <w:highlight w:val="none"/>
          <w:lang w:eastAsia="zh-CN"/>
        </w:rPr>
        <w:t>月</w:t>
      </w:r>
      <w:r>
        <w:rPr>
          <w:rFonts w:hint="eastAsia" w:ascii="仿宋" w:hAnsi="仿宋" w:eastAsia="仿宋" w:cs="仿宋"/>
          <w:color w:val="auto"/>
          <w:sz w:val="28"/>
          <w:szCs w:val="28"/>
          <w:highlight w:val="none"/>
        </w:rPr>
        <w:t>保洁服务费</w:t>
      </w:r>
      <w:r>
        <w:rPr>
          <w:rFonts w:hint="eastAsia" w:ascii="仿宋" w:hAnsi="仿宋" w:eastAsia="仿宋" w:cs="仿宋"/>
          <w:color w:val="auto"/>
          <w:sz w:val="28"/>
          <w:szCs w:val="28"/>
          <w:highlight w:val="none"/>
          <w:lang w:eastAsia="zh-CN"/>
        </w:rPr>
        <w:t>用</w:t>
      </w:r>
      <w:r>
        <w:rPr>
          <w:rFonts w:hint="eastAsia" w:ascii="仿宋" w:hAnsi="仿宋" w:eastAsia="仿宋" w:cs="仿宋"/>
          <w:color w:val="auto"/>
          <w:sz w:val="28"/>
          <w:szCs w:val="28"/>
          <w:highlight w:val="none"/>
        </w:rPr>
        <w:t>。</w:t>
      </w:r>
    </w:p>
    <w:p>
      <w:pPr>
        <w:tabs>
          <w:tab w:val="left" w:pos="795"/>
        </w:tabs>
        <w:spacing w:line="360" w:lineRule="auto"/>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lang w:eastAsia="zh-CN"/>
        </w:rPr>
        <w:t>九</w:t>
      </w:r>
      <w:r>
        <w:rPr>
          <w:rFonts w:hint="eastAsia" w:ascii="仿宋" w:hAnsi="仿宋" w:eastAsia="仿宋" w:cs="仿宋"/>
          <w:b/>
          <w:color w:val="auto"/>
          <w:sz w:val="28"/>
          <w:szCs w:val="28"/>
          <w:highlight w:val="none"/>
        </w:rPr>
        <w:t>、合同变更与终止</w:t>
      </w:r>
    </w:p>
    <w:p>
      <w:pPr>
        <w:tabs>
          <w:tab w:val="left" w:pos="780"/>
        </w:tabs>
        <w:spacing w:line="360" w:lineRule="auto"/>
        <w:ind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w:t>
      </w:r>
      <w:r>
        <w:rPr>
          <w:rFonts w:hint="eastAsia" w:ascii="仿宋" w:hAnsi="仿宋" w:eastAsia="仿宋" w:cs="仿宋"/>
          <w:color w:val="auto"/>
          <w:sz w:val="28"/>
          <w:szCs w:val="28"/>
          <w:highlight w:val="none"/>
          <w:lang w:val="en-US" w:eastAsia="zh-CN"/>
        </w:rPr>
        <w:t>本</w:t>
      </w:r>
      <w:r>
        <w:rPr>
          <w:rFonts w:hint="eastAsia" w:ascii="仿宋" w:hAnsi="仿宋" w:eastAsia="仿宋" w:cs="仿宋"/>
          <w:color w:val="auto"/>
          <w:sz w:val="28"/>
          <w:szCs w:val="28"/>
          <w:highlight w:val="none"/>
        </w:rPr>
        <w:t>合同的变更与提前终止</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 xml:space="preserve">必须采用书面形式提前一个月通知对方。 </w:t>
      </w:r>
    </w:p>
    <w:p>
      <w:pPr>
        <w:tabs>
          <w:tab w:val="left" w:pos="780"/>
        </w:tabs>
        <w:spacing w:line="360" w:lineRule="auto"/>
        <w:ind w:firstLine="280" w:firstLineChars="1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2、本合同履行期限届满，合同自动终止</w:t>
      </w:r>
      <w:r>
        <w:rPr>
          <w:rFonts w:hint="eastAsia" w:ascii="仿宋" w:hAnsi="仿宋" w:eastAsia="仿宋" w:cs="仿宋"/>
          <w:color w:val="auto"/>
          <w:sz w:val="28"/>
          <w:szCs w:val="28"/>
          <w:highlight w:val="none"/>
          <w:lang w:eastAsia="zh-CN"/>
        </w:rPr>
        <w:t>。如需续签合同</w:t>
      </w:r>
      <w:r>
        <w:rPr>
          <w:rFonts w:hint="eastAsia" w:ascii="仿宋" w:hAnsi="仿宋" w:eastAsia="仿宋" w:cs="仿宋"/>
          <w:color w:val="auto"/>
          <w:sz w:val="28"/>
          <w:szCs w:val="28"/>
          <w:highlight w:val="none"/>
        </w:rPr>
        <w:t>甲乙双方</w:t>
      </w:r>
      <w:r>
        <w:rPr>
          <w:rFonts w:hint="eastAsia" w:ascii="仿宋" w:hAnsi="仿宋" w:eastAsia="仿宋" w:cs="仿宋"/>
          <w:color w:val="auto"/>
          <w:sz w:val="28"/>
          <w:szCs w:val="28"/>
          <w:highlight w:val="none"/>
          <w:lang w:eastAsia="zh-CN"/>
        </w:rPr>
        <w:t>应</w:t>
      </w:r>
      <w:r>
        <w:rPr>
          <w:rFonts w:hint="eastAsia" w:ascii="仿宋" w:hAnsi="仿宋" w:eastAsia="仿宋" w:cs="仿宋"/>
          <w:color w:val="auto"/>
          <w:sz w:val="28"/>
          <w:szCs w:val="28"/>
          <w:highlight w:val="none"/>
        </w:rPr>
        <w:t>提前一个月协商</w:t>
      </w:r>
      <w:r>
        <w:rPr>
          <w:rFonts w:hint="eastAsia" w:ascii="仿宋" w:hAnsi="仿宋" w:eastAsia="仿宋" w:cs="仿宋"/>
          <w:color w:val="auto"/>
          <w:sz w:val="28"/>
          <w:szCs w:val="28"/>
          <w:highlight w:val="none"/>
          <w:lang w:eastAsia="zh-CN"/>
        </w:rPr>
        <w:t>。</w:t>
      </w:r>
    </w:p>
    <w:p>
      <w:pPr>
        <w:tabs>
          <w:tab w:val="left" w:pos="780"/>
        </w:tabs>
        <w:spacing w:line="360" w:lineRule="auto"/>
        <w:ind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w:t>
      </w:r>
      <w:r>
        <w:rPr>
          <w:rFonts w:hint="eastAsia" w:ascii="仿宋" w:hAnsi="仿宋" w:eastAsia="仿宋" w:cs="仿宋"/>
          <w:color w:val="auto"/>
          <w:sz w:val="28"/>
          <w:szCs w:val="28"/>
          <w:highlight w:val="none"/>
          <w:lang w:eastAsia="zh-CN"/>
        </w:rPr>
        <w:t>甲乙双方不得</w:t>
      </w:r>
      <w:r>
        <w:rPr>
          <w:rFonts w:hint="eastAsia" w:ascii="仿宋" w:hAnsi="仿宋" w:eastAsia="仿宋" w:cs="仿宋"/>
          <w:color w:val="auto"/>
          <w:sz w:val="28"/>
          <w:szCs w:val="28"/>
          <w:highlight w:val="none"/>
        </w:rPr>
        <w:t>擅自解除合同的部分</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rPr>
        <w:t>或整体</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rPr>
        <w:t>条约，未经</w:t>
      </w:r>
      <w:r>
        <w:rPr>
          <w:rFonts w:hint="eastAsia" w:ascii="仿宋" w:hAnsi="仿宋" w:eastAsia="仿宋" w:cs="仿宋"/>
          <w:color w:val="auto"/>
          <w:sz w:val="28"/>
          <w:szCs w:val="28"/>
          <w:highlight w:val="none"/>
          <w:lang w:eastAsia="zh-CN"/>
        </w:rPr>
        <w:t>双</w:t>
      </w:r>
      <w:r>
        <w:rPr>
          <w:rFonts w:hint="eastAsia" w:ascii="仿宋" w:hAnsi="仿宋" w:eastAsia="仿宋" w:cs="仿宋"/>
          <w:color w:val="auto"/>
          <w:sz w:val="28"/>
          <w:szCs w:val="28"/>
          <w:highlight w:val="none"/>
        </w:rPr>
        <w:t>方协商</w:t>
      </w:r>
      <w:r>
        <w:rPr>
          <w:rFonts w:hint="eastAsia" w:ascii="仿宋" w:hAnsi="仿宋" w:eastAsia="仿宋" w:cs="仿宋"/>
          <w:color w:val="auto"/>
          <w:sz w:val="28"/>
          <w:szCs w:val="28"/>
          <w:highlight w:val="none"/>
          <w:lang w:val="en-US" w:eastAsia="zh-CN"/>
        </w:rPr>
        <w:t>书面</w:t>
      </w:r>
      <w:r>
        <w:rPr>
          <w:rFonts w:hint="eastAsia" w:ascii="仿宋" w:hAnsi="仿宋" w:eastAsia="仿宋" w:cs="仿宋"/>
          <w:color w:val="auto"/>
          <w:sz w:val="28"/>
          <w:szCs w:val="28"/>
          <w:highlight w:val="none"/>
        </w:rPr>
        <w:t>同意，造成的损失由擅自解除合同的一方赔偿。如发生不可抗力事件(诸如自然灾害、战争、暴乱</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传染病等)或甲方原因导致部分</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rPr>
        <w:t>或整体</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rPr>
        <w:t>项目无法完成，可协商解除部分</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rPr>
        <w:t>或整体</w:t>
      </w:r>
      <w:r>
        <w:rPr>
          <w:rFonts w:hint="eastAsia" w:ascii="仿宋" w:hAnsi="仿宋" w:eastAsia="仿宋" w:cs="仿宋"/>
          <w:color w:val="auto"/>
          <w:sz w:val="28"/>
          <w:szCs w:val="28"/>
          <w:highlight w:val="none"/>
          <w:lang w:val="en-US" w:eastAsia="zh-CN"/>
        </w:rPr>
        <w:t>)</w:t>
      </w:r>
      <w:r>
        <w:rPr>
          <w:rFonts w:hint="eastAsia" w:ascii="仿宋" w:hAnsi="仿宋" w:eastAsia="仿宋" w:cs="仿宋"/>
          <w:color w:val="auto"/>
          <w:sz w:val="28"/>
          <w:szCs w:val="28"/>
          <w:highlight w:val="none"/>
        </w:rPr>
        <w:t>合同。</w:t>
      </w:r>
    </w:p>
    <w:p>
      <w:pPr>
        <w:tabs>
          <w:tab w:val="left" w:pos="780"/>
        </w:tabs>
        <w:spacing w:line="360" w:lineRule="auto"/>
        <w:ind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、甲乙双方任何一方中途变更或终止合同未及时通知对方，应赔偿对方因此造成的损失，并向对方支付合同约定年费用的</w:t>
      </w:r>
      <w:r>
        <w:rPr>
          <w:rFonts w:hint="eastAsia" w:ascii="仿宋" w:hAnsi="仿宋" w:eastAsia="仿宋" w:cs="仿宋"/>
          <w:color w:val="auto"/>
          <w:sz w:val="28"/>
          <w:szCs w:val="28"/>
          <w:highlight w:val="none"/>
          <w:u w:val="single"/>
          <w:lang w:val="en-US" w:eastAsia="zh-CN"/>
        </w:rPr>
        <w:t>5</w:t>
      </w:r>
      <w:r>
        <w:rPr>
          <w:rFonts w:hint="eastAsia" w:ascii="仿宋" w:hAnsi="仿宋" w:eastAsia="仿宋" w:cs="仿宋"/>
          <w:color w:val="auto"/>
          <w:sz w:val="28"/>
          <w:szCs w:val="28"/>
          <w:highlight w:val="none"/>
          <w:u w:val="single"/>
        </w:rPr>
        <w:t>%</w:t>
      </w:r>
      <w:r>
        <w:rPr>
          <w:rFonts w:hint="eastAsia" w:ascii="仿宋" w:hAnsi="仿宋" w:eastAsia="仿宋" w:cs="仿宋"/>
          <w:color w:val="auto"/>
          <w:sz w:val="28"/>
          <w:szCs w:val="28"/>
          <w:highlight w:val="none"/>
        </w:rPr>
        <w:t>作为违约金。</w:t>
      </w:r>
    </w:p>
    <w:p>
      <w:pPr>
        <w:tabs>
          <w:tab w:val="left" w:pos="780"/>
        </w:tabs>
        <w:spacing w:line="360" w:lineRule="auto"/>
        <w:ind w:firstLine="280" w:firstLineChars="1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、本合同在执行中若发生争议，双方协商解决或签</w:t>
      </w:r>
      <w:r>
        <w:rPr>
          <w:rFonts w:hint="eastAsia" w:ascii="仿宋" w:hAnsi="仿宋" w:eastAsia="仿宋" w:cs="仿宋"/>
          <w:color w:val="auto"/>
          <w:sz w:val="28"/>
          <w:szCs w:val="28"/>
          <w:highlight w:val="none"/>
          <w:lang w:val="en-US" w:eastAsia="zh-CN"/>
        </w:rPr>
        <w:t>订</w:t>
      </w:r>
      <w:r>
        <w:rPr>
          <w:rFonts w:hint="eastAsia" w:ascii="仿宋" w:hAnsi="仿宋" w:eastAsia="仿宋" w:cs="仿宋"/>
          <w:color w:val="auto"/>
          <w:sz w:val="28"/>
          <w:szCs w:val="28"/>
          <w:highlight w:val="none"/>
        </w:rPr>
        <w:t>补充</w:t>
      </w:r>
      <w:r>
        <w:rPr>
          <w:rFonts w:hint="eastAsia" w:ascii="仿宋" w:hAnsi="仿宋" w:eastAsia="仿宋" w:cs="仿宋"/>
          <w:color w:val="auto"/>
          <w:sz w:val="28"/>
          <w:szCs w:val="28"/>
          <w:highlight w:val="none"/>
          <w:lang w:eastAsia="zh-CN"/>
        </w:rPr>
        <w:t>协议</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eastAsia="zh-CN"/>
        </w:rPr>
        <w:t>协商不成时</w:t>
      </w:r>
      <w:r>
        <w:rPr>
          <w:rFonts w:hint="eastAsia" w:ascii="仿宋" w:hAnsi="仿宋" w:eastAsia="仿宋" w:cs="仿宋"/>
          <w:color w:val="auto"/>
          <w:sz w:val="28"/>
          <w:szCs w:val="28"/>
          <w:highlight w:val="none"/>
        </w:rPr>
        <w:t>，可向</w:t>
      </w:r>
      <w:r>
        <w:rPr>
          <w:rFonts w:hint="eastAsia" w:ascii="仿宋" w:hAnsi="仿宋" w:eastAsia="仿宋" w:cs="仿宋"/>
          <w:color w:val="auto"/>
          <w:sz w:val="28"/>
          <w:szCs w:val="28"/>
          <w:highlight w:val="none"/>
          <w:lang w:val="en-US" w:eastAsia="zh-CN"/>
        </w:rPr>
        <w:t>甲方</w:t>
      </w:r>
      <w:r>
        <w:rPr>
          <w:rFonts w:hint="eastAsia" w:ascii="仿宋" w:hAnsi="仿宋" w:eastAsia="仿宋" w:cs="仿宋"/>
          <w:color w:val="auto"/>
          <w:sz w:val="28"/>
          <w:szCs w:val="28"/>
          <w:highlight w:val="none"/>
          <w:lang w:eastAsia="zh-CN"/>
        </w:rPr>
        <w:t>所在地</w:t>
      </w:r>
      <w:r>
        <w:rPr>
          <w:rFonts w:hint="eastAsia" w:ascii="仿宋" w:hAnsi="仿宋" w:eastAsia="仿宋" w:cs="仿宋"/>
          <w:color w:val="auto"/>
          <w:sz w:val="28"/>
          <w:szCs w:val="28"/>
          <w:highlight w:val="none"/>
          <w:lang w:val="en-US" w:eastAsia="zh-CN"/>
        </w:rPr>
        <w:t>人民法院提起诉讼</w:t>
      </w:r>
      <w:r>
        <w:rPr>
          <w:rFonts w:hint="eastAsia" w:ascii="仿宋" w:hAnsi="仿宋" w:eastAsia="仿宋" w:cs="仿宋"/>
          <w:color w:val="auto"/>
          <w:sz w:val="28"/>
          <w:szCs w:val="28"/>
          <w:highlight w:val="none"/>
        </w:rPr>
        <w:t>。</w:t>
      </w:r>
    </w:p>
    <w:p>
      <w:pPr>
        <w:keepNext w:val="0"/>
        <w:keepLines w:val="0"/>
        <w:pageBreakBefore w:val="0"/>
        <w:widowControl w:val="0"/>
        <w:tabs>
          <w:tab w:val="left" w:pos="690"/>
        </w:tabs>
        <w:kinsoku/>
        <w:wordWrap/>
        <w:overflowPunct/>
        <w:topLinePunct w:val="0"/>
        <w:autoSpaceDE/>
        <w:autoSpaceDN/>
        <w:bidi w:val="0"/>
        <w:adjustRightInd/>
        <w:snapToGrid/>
        <w:spacing w:line="0" w:lineRule="atLeast"/>
        <w:textAlignment w:val="auto"/>
        <w:outlineLvl w:val="9"/>
        <w:rPr>
          <w:rFonts w:hint="eastAsia" w:ascii="仿宋" w:hAnsi="仿宋" w:eastAsia="仿宋" w:cs="仿宋"/>
          <w:color w:val="auto"/>
          <w:sz w:val="28"/>
          <w:szCs w:val="28"/>
          <w:highlight w:val="none"/>
          <w:u w:val="single"/>
        </w:rPr>
      </w:pPr>
      <w:r>
        <w:rPr>
          <w:rFonts w:hint="eastAsia" w:ascii="仿宋" w:hAnsi="仿宋" w:eastAsia="仿宋" w:cs="仿宋"/>
          <w:b/>
          <w:color w:val="auto"/>
          <w:sz w:val="28"/>
          <w:szCs w:val="28"/>
          <w:highlight w:val="none"/>
          <w:lang w:eastAsia="zh-CN"/>
        </w:rPr>
        <w:t>十</w:t>
      </w:r>
      <w:r>
        <w:rPr>
          <w:rFonts w:hint="eastAsia" w:ascii="仿宋" w:hAnsi="仿宋" w:eastAsia="仿宋" w:cs="仿宋"/>
          <w:b/>
          <w:color w:val="auto"/>
          <w:sz w:val="28"/>
          <w:szCs w:val="28"/>
          <w:highlight w:val="none"/>
        </w:rPr>
        <w:t>、其他</w:t>
      </w:r>
    </w:p>
    <w:p>
      <w:pPr>
        <w:tabs>
          <w:tab w:val="left" w:pos="680"/>
        </w:tabs>
        <w:spacing w:line="360" w:lineRule="auto"/>
        <w:rPr>
          <w:rFonts w:hint="eastAsia" w:ascii="仿宋" w:hAnsi="仿宋" w:eastAsia="仿宋" w:cs="仿宋"/>
          <w:bCs/>
          <w:color w:val="auto"/>
          <w:sz w:val="28"/>
          <w:szCs w:val="28"/>
          <w:highlight w:val="none"/>
        </w:rPr>
      </w:pPr>
      <w:r>
        <w:rPr>
          <w:rFonts w:hint="eastAsia" w:ascii="仿宋" w:hAnsi="仿宋" w:eastAsia="仿宋" w:cs="仿宋"/>
          <w:b/>
          <w:color w:val="auto"/>
          <w:sz w:val="28"/>
          <w:szCs w:val="28"/>
          <w:highlight w:val="none"/>
        </w:rPr>
        <w:t xml:space="preserve">  </w:t>
      </w:r>
      <w:r>
        <w:rPr>
          <w:rFonts w:hint="eastAsia" w:ascii="仿宋" w:hAnsi="仿宋" w:eastAsia="仿宋" w:cs="仿宋"/>
          <w:bCs/>
          <w:color w:val="auto"/>
          <w:sz w:val="28"/>
          <w:szCs w:val="28"/>
          <w:highlight w:val="none"/>
        </w:rPr>
        <w:t>1、本</w:t>
      </w:r>
      <w:r>
        <w:rPr>
          <w:rFonts w:hint="eastAsia" w:ascii="仿宋" w:hAnsi="仿宋" w:eastAsia="仿宋" w:cs="仿宋"/>
          <w:bCs/>
          <w:color w:val="auto"/>
          <w:sz w:val="28"/>
          <w:szCs w:val="28"/>
          <w:highlight w:val="none"/>
          <w:lang w:val="en-US" w:eastAsia="zh-CN"/>
        </w:rPr>
        <w:t>合同</w:t>
      </w:r>
      <w:r>
        <w:rPr>
          <w:rFonts w:hint="eastAsia" w:ascii="仿宋" w:hAnsi="仿宋" w:eastAsia="仿宋" w:cs="仿宋"/>
          <w:bCs/>
          <w:color w:val="auto"/>
          <w:sz w:val="28"/>
          <w:szCs w:val="28"/>
          <w:highlight w:val="none"/>
        </w:rPr>
        <w:t>自双方签字盖章之日起生效。本</w:t>
      </w:r>
      <w:r>
        <w:rPr>
          <w:rFonts w:hint="eastAsia" w:ascii="仿宋" w:hAnsi="仿宋" w:eastAsia="仿宋" w:cs="仿宋"/>
          <w:bCs/>
          <w:color w:val="auto"/>
          <w:sz w:val="28"/>
          <w:szCs w:val="28"/>
          <w:highlight w:val="none"/>
          <w:lang w:val="en-US" w:eastAsia="zh-CN"/>
        </w:rPr>
        <w:t>合同</w:t>
      </w:r>
      <w:r>
        <w:rPr>
          <w:rFonts w:hint="eastAsia" w:ascii="仿宋" w:hAnsi="仿宋" w:eastAsia="仿宋" w:cs="仿宋"/>
          <w:bCs/>
          <w:color w:val="auto"/>
          <w:sz w:val="28"/>
          <w:szCs w:val="28"/>
          <w:highlight w:val="none"/>
          <w:lang w:eastAsia="zh-CN"/>
        </w:rPr>
        <w:t>一</w:t>
      </w:r>
      <w:r>
        <w:rPr>
          <w:rFonts w:hint="eastAsia" w:ascii="仿宋" w:hAnsi="仿宋" w:eastAsia="仿宋" w:cs="仿宋"/>
          <w:bCs/>
          <w:color w:val="auto"/>
          <w:sz w:val="28"/>
          <w:szCs w:val="28"/>
          <w:highlight w:val="none"/>
        </w:rPr>
        <w:t>式</w:t>
      </w:r>
      <w:r>
        <w:rPr>
          <w:rFonts w:hint="eastAsia" w:ascii="仿宋" w:hAnsi="仿宋" w:eastAsia="仿宋" w:cs="仿宋"/>
          <w:bCs/>
          <w:color w:val="auto"/>
          <w:sz w:val="28"/>
          <w:szCs w:val="28"/>
          <w:highlight w:val="none"/>
          <w:lang w:eastAsia="zh-CN"/>
        </w:rPr>
        <w:t>肆</w:t>
      </w:r>
      <w:r>
        <w:rPr>
          <w:rFonts w:hint="eastAsia" w:ascii="仿宋" w:hAnsi="仿宋" w:eastAsia="仿宋" w:cs="仿宋"/>
          <w:bCs/>
          <w:color w:val="auto"/>
          <w:sz w:val="28"/>
          <w:szCs w:val="28"/>
          <w:highlight w:val="none"/>
        </w:rPr>
        <w:t>份，双方各执</w:t>
      </w:r>
      <w:r>
        <w:rPr>
          <w:rFonts w:hint="eastAsia" w:ascii="仿宋" w:hAnsi="仿宋" w:eastAsia="仿宋" w:cs="仿宋"/>
          <w:bCs/>
          <w:color w:val="auto"/>
          <w:sz w:val="28"/>
          <w:szCs w:val="28"/>
          <w:highlight w:val="none"/>
          <w:lang w:eastAsia="zh-CN"/>
        </w:rPr>
        <w:t>贰</w:t>
      </w:r>
      <w:r>
        <w:rPr>
          <w:rFonts w:hint="eastAsia" w:ascii="仿宋" w:hAnsi="仿宋" w:eastAsia="仿宋" w:cs="仿宋"/>
          <w:bCs/>
          <w:color w:val="auto"/>
          <w:sz w:val="28"/>
          <w:szCs w:val="28"/>
          <w:highlight w:val="none"/>
        </w:rPr>
        <w:t>份，具有同等法律效力。</w:t>
      </w:r>
    </w:p>
    <w:p>
      <w:pPr>
        <w:tabs>
          <w:tab w:val="left" w:pos="795"/>
        </w:tabs>
        <w:spacing w:line="360" w:lineRule="auto"/>
        <w:ind w:firstLine="280" w:firstLineChars="100"/>
        <w:rPr>
          <w:rFonts w:hint="eastAsia" w:ascii="仿宋" w:hAnsi="仿宋" w:eastAsia="仿宋" w:cs="仿宋"/>
          <w:bCs/>
          <w:color w:val="auto"/>
          <w:sz w:val="28"/>
          <w:szCs w:val="28"/>
          <w:highlight w:val="none"/>
        </w:rPr>
      </w:pPr>
      <w:r>
        <w:rPr>
          <w:rFonts w:hint="eastAsia" w:ascii="仿宋" w:hAnsi="仿宋" w:eastAsia="仿宋" w:cs="仿宋"/>
          <w:b w:val="0"/>
          <w:bCs w:val="0"/>
          <w:color w:val="auto"/>
          <w:sz w:val="28"/>
          <w:szCs w:val="28"/>
          <w:highlight w:val="none"/>
          <w:lang w:val="en-US" w:eastAsia="zh-CN"/>
        </w:rPr>
        <w:t>2、本合同附件与本合同具有同等法律效力。</w:t>
      </w:r>
    </w:p>
    <w:p>
      <w:pPr>
        <w:tabs>
          <w:tab w:val="left" w:pos="680"/>
        </w:tabs>
        <w:spacing w:line="360" w:lineRule="auto"/>
        <w:ind w:firstLine="280" w:firstLineChars="100"/>
        <w:rPr>
          <w:rFonts w:hint="eastAsia" w:ascii="仿宋" w:hAnsi="仿宋" w:eastAsia="仿宋" w:cs="仿宋"/>
          <w:color w:val="auto"/>
          <w:sz w:val="28"/>
          <w:szCs w:val="28"/>
          <w:highlight w:val="none"/>
          <w:u w:val="single"/>
        </w:rPr>
      </w:pPr>
      <w:r>
        <w:rPr>
          <w:rFonts w:hint="eastAsia" w:ascii="仿宋" w:hAnsi="仿宋" w:eastAsia="仿宋" w:cs="仿宋"/>
          <w:bCs/>
          <w:color w:val="auto"/>
          <w:sz w:val="28"/>
          <w:szCs w:val="28"/>
          <w:highlight w:val="none"/>
          <w:lang w:val="en-US" w:eastAsia="zh-CN"/>
        </w:rPr>
        <w:t>3</w:t>
      </w:r>
      <w:r>
        <w:rPr>
          <w:rFonts w:hint="eastAsia" w:ascii="仿宋" w:hAnsi="仿宋" w:eastAsia="仿宋" w:cs="仿宋"/>
          <w:bCs/>
          <w:color w:val="auto"/>
          <w:sz w:val="28"/>
          <w:szCs w:val="28"/>
          <w:highlight w:val="none"/>
        </w:rPr>
        <w:t>、乙方银行账户信息</w:t>
      </w:r>
      <w:r>
        <w:rPr>
          <w:rFonts w:hint="eastAsia" w:ascii="仿宋" w:hAnsi="仿宋" w:eastAsia="仿宋" w:cs="仿宋"/>
          <w:color w:val="auto"/>
          <w:sz w:val="28"/>
          <w:szCs w:val="28"/>
          <w:highlight w:val="none"/>
        </w:rPr>
        <w:t>：</w:t>
      </w:r>
    </w:p>
    <w:p>
      <w:pPr>
        <w:keepNext w:val="0"/>
        <w:keepLines w:val="0"/>
        <w:pageBreakBefore w:val="0"/>
        <w:widowControl w:val="0"/>
        <w:tabs>
          <w:tab w:val="left" w:pos="680"/>
        </w:tabs>
        <w:kinsoku/>
        <w:wordWrap/>
        <w:overflowPunct/>
        <w:topLinePunct w:val="0"/>
        <w:autoSpaceDE/>
        <w:autoSpaceDN/>
        <w:bidi w:val="0"/>
        <w:adjustRightInd/>
        <w:snapToGrid/>
        <w:spacing w:line="360" w:lineRule="auto"/>
        <w:ind w:firstLine="700" w:firstLineChars="250"/>
        <w:textAlignment w:val="auto"/>
        <w:outlineLvl w:val="9"/>
        <w:rPr>
          <w:rFonts w:hint="eastAsia" w:ascii="仿宋" w:hAnsi="仿宋" w:eastAsia="仿宋" w:cs="仿宋"/>
          <w:b w:val="0"/>
          <w:bCs w:val="0"/>
          <w:color w:val="auto"/>
          <w:sz w:val="28"/>
          <w:szCs w:val="28"/>
          <w:highlight w:val="none"/>
          <w:u w:val="single"/>
        </w:rPr>
      </w:pPr>
      <w:r>
        <w:rPr>
          <w:rFonts w:hint="eastAsia" w:ascii="仿宋" w:hAnsi="仿宋" w:eastAsia="仿宋" w:cs="仿宋"/>
          <w:b w:val="0"/>
          <w:bCs w:val="0"/>
          <w:color w:val="auto"/>
          <w:sz w:val="28"/>
          <w:szCs w:val="28"/>
          <w:highlight w:val="none"/>
        </w:rPr>
        <w:t>开 户 行：</w:t>
      </w:r>
      <w:r>
        <w:rPr>
          <w:rFonts w:hint="eastAsia" w:ascii="仿宋" w:hAnsi="仿宋" w:eastAsia="仿宋" w:cs="仿宋"/>
          <w:b w:val="0"/>
          <w:bCs w:val="0"/>
          <w:color w:val="auto"/>
          <w:sz w:val="28"/>
          <w:szCs w:val="28"/>
          <w:highlight w:val="none"/>
          <w:lang w:val="en-US" w:eastAsia="zh-CN"/>
        </w:rPr>
        <w:t xml:space="preserve"> </w:t>
      </w:r>
      <w:r>
        <w:rPr>
          <w:rFonts w:hint="eastAsia" w:ascii="仿宋" w:hAnsi="仿宋" w:eastAsia="仿宋" w:cs="仿宋"/>
          <w:b w:val="0"/>
          <w:bCs w:val="0"/>
          <w:color w:val="auto"/>
          <w:sz w:val="28"/>
          <w:szCs w:val="28"/>
          <w:highlight w:val="none"/>
          <w:u w:val="single"/>
          <w:lang w:val="en-US" w:eastAsia="zh-CN"/>
        </w:rPr>
        <w:t xml:space="preserve">     </w:t>
      </w:r>
      <w:r>
        <w:rPr>
          <w:rFonts w:hint="eastAsia" w:ascii="仿宋" w:hAnsi="仿宋" w:eastAsia="仿宋" w:cs="仿宋"/>
          <w:b w:val="0"/>
          <w:bCs w:val="0"/>
          <w:color w:val="auto"/>
          <w:sz w:val="28"/>
          <w:szCs w:val="28"/>
          <w:highlight w:val="none"/>
          <w:u w:val="single"/>
        </w:rPr>
        <w:t xml:space="preserve"> </w:t>
      </w:r>
      <w:r>
        <w:rPr>
          <w:rFonts w:hint="eastAsia" w:ascii="仿宋" w:hAnsi="仿宋" w:eastAsia="仿宋" w:cs="仿宋"/>
          <w:b w:val="0"/>
          <w:bCs w:val="0"/>
          <w:color w:val="auto"/>
          <w:sz w:val="28"/>
          <w:szCs w:val="28"/>
          <w:highlight w:val="none"/>
        </w:rPr>
        <w:t xml:space="preserve"> </w:t>
      </w:r>
    </w:p>
    <w:p>
      <w:pPr>
        <w:keepNext w:val="0"/>
        <w:keepLines w:val="0"/>
        <w:pageBreakBefore w:val="0"/>
        <w:widowControl w:val="0"/>
        <w:tabs>
          <w:tab w:val="left" w:pos="680"/>
        </w:tabs>
        <w:kinsoku/>
        <w:wordWrap/>
        <w:overflowPunct/>
        <w:topLinePunct w:val="0"/>
        <w:autoSpaceDE/>
        <w:autoSpaceDN/>
        <w:bidi w:val="0"/>
        <w:adjustRightInd/>
        <w:snapToGrid/>
        <w:spacing w:line="360" w:lineRule="auto"/>
        <w:ind w:firstLine="700" w:firstLineChars="250"/>
        <w:textAlignment w:val="auto"/>
        <w:outlineLvl w:val="9"/>
        <w:rPr>
          <w:rFonts w:hint="default" w:ascii="仿宋" w:hAnsi="仿宋" w:eastAsia="仿宋" w:cs="仿宋"/>
          <w:b w:val="0"/>
          <w:bCs w:val="0"/>
          <w:color w:val="auto"/>
          <w:sz w:val="28"/>
          <w:szCs w:val="28"/>
          <w:highlight w:val="none"/>
          <w:u w:val="single"/>
          <w:lang w:val="en-US" w:eastAsia="zh-CN"/>
        </w:rPr>
      </w:pPr>
      <w:r>
        <w:rPr>
          <w:rFonts w:hint="eastAsia" w:ascii="仿宋" w:hAnsi="仿宋" w:eastAsia="仿宋" w:cs="仿宋"/>
          <w:b w:val="0"/>
          <w:bCs w:val="0"/>
          <w:color w:val="auto"/>
          <w:sz w:val="28"/>
          <w:szCs w:val="28"/>
          <w:highlight w:val="none"/>
        </w:rPr>
        <w:t>账户号码：</w:t>
      </w:r>
      <w:r>
        <w:rPr>
          <w:rFonts w:hint="eastAsia" w:ascii="仿宋" w:hAnsi="仿宋" w:eastAsia="仿宋" w:cs="仿宋"/>
          <w:b w:val="0"/>
          <w:bCs w:val="0"/>
          <w:color w:val="auto"/>
          <w:sz w:val="28"/>
          <w:szCs w:val="28"/>
          <w:highlight w:val="none"/>
          <w:lang w:val="en-US" w:eastAsia="zh-CN"/>
        </w:rPr>
        <w:t xml:space="preserve"> </w:t>
      </w:r>
      <w:r>
        <w:rPr>
          <w:rFonts w:hint="eastAsia" w:ascii="仿宋" w:hAnsi="仿宋" w:eastAsia="仿宋" w:cs="仿宋"/>
          <w:b w:val="0"/>
          <w:bCs w:val="0"/>
          <w:color w:val="auto"/>
          <w:sz w:val="28"/>
          <w:szCs w:val="28"/>
          <w:highlight w:val="none"/>
          <w:u w:val="single"/>
          <w:lang w:val="en-US" w:eastAsia="zh-CN"/>
        </w:rPr>
        <w:t xml:space="preserve">                    </w:t>
      </w:r>
    </w:p>
    <w:p>
      <w:pPr>
        <w:keepNext w:val="0"/>
        <w:keepLines w:val="0"/>
        <w:pageBreakBefore w:val="0"/>
        <w:widowControl w:val="0"/>
        <w:tabs>
          <w:tab w:val="left" w:pos="680"/>
        </w:tabs>
        <w:kinsoku/>
        <w:wordWrap/>
        <w:overflowPunct/>
        <w:topLinePunct w:val="0"/>
        <w:autoSpaceDE/>
        <w:autoSpaceDN/>
        <w:bidi w:val="0"/>
        <w:adjustRightInd/>
        <w:snapToGrid/>
        <w:spacing w:line="360" w:lineRule="auto"/>
        <w:ind w:firstLine="700" w:firstLineChars="250"/>
        <w:textAlignment w:val="auto"/>
        <w:outlineLvl w:val="9"/>
        <w:rPr>
          <w:rFonts w:hint="eastAsia" w:ascii="仿宋" w:hAnsi="仿宋" w:eastAsia="仿宋" w:cs="仿宋"/>
          <w:b/>
          <w:color w:val="auto"/>
          <w:sz w:val="28"/>
          <w:szCs w:val="28"/>
          <w:highlight w:val="none"/>
        </w:rPr>
      </w:pPr>
      <w:r>
        <w:rPr>
          <w:rFonts w:hint="eastAsia" w:ascii="仿宋" w:hAnsi="仿宋" w:eastAsia="仿宋" w:cs="仿宋"/>
          <w:b w:val="0"/>
          <w:bCs w:val="0"/>
          <w:color w:val="auto"/>
          <w:sz w:val="28"/>
          <w:szCs w:val="28"/>
          <w:highlight w:val="none"/>
        </w:rPr>
        <w:t>单位名称：</w:t>
      </w:r>
      <w:r>
        <w:rPr>
          <w:rFonts w:hint="eastAsia" w:ascii="仿宋" w:hAnsi="仿宋" w:eastAsia="仿宋" w:cs="仿宋"/>
          <w:b w:val="0"/>
          <w:bCs w:val="0"/>
          <w:color w:val="auto"/>
          <w:sz w:val="28"/>
          <w:szCs w:val="28"/>
          <w:highlight w:val="none"/>
          <w:lang w:val="en-US" w:eastAsia="zh-CN"/>
        </w:rPr>
        <w:t xml:space="preserve"> </w:t>
      </w:r>
      <w:r>
        <w:rPr>
          <w:rFonts w:hint="eastAsia" w:ascii="仿宋" w:hAnsi="仿宋" w:eastAsia="仿宋" w:cs="仿宋"/>
          <w:b w:val="0"/>
          <w:bCs w:val="0"/>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 xml:space="preserve">               </w:t>
      </w:r>
    </w:p>
    <w:p>
      <w:pPr>
        <w:keepNext w:val="0"/>
        <w:keepLines w:val="0"/>
        <w:pageBreakBefore w:val="0"/>
        <w:widowControl w:val="0"/>
        <w:tabs>
          <w:tab w:val="left" w:pos="680"/>
        </w:tabs>
        <w:kinsoku/>
        <w:wordWrap/>
        <w:overflowPunct/>
        <w:topLinePunct w:val="0"/>
        <w:autoSpaceDE/>
        <w:autoSpaceDN/>
        <w:bidi w:val="0"/>
        <w:adjustRightInd/>
        <w:snapToGrid/>
        <w:spacing w:line="0" w:lineRule="atLeast"/>
        <w:textAlignment w:val="auto"/>
        <w:outlineLvl w:val="9"/>
        <w:rPr>
          <w:rFonts w:hint="eastAsia" w:ascii="仿宋" w:hAnsi="仿宋" w:eastAsia="仿宋" w:cs="仿宋"/>
          <w:color w:val="auto"/>
          <w:kern w:val="0"/>
          <w:sz w:val="28"/>
          <w:szCs w:val="28"/>
          <w:highlight w:val="none"/>
          <w:shd w:val="clear" w:color="auto" w:fill="FFFFFF"/>
          <w:lang w:val="en-US" w:eastAsia="zh-CN" w:bidi="ar-SA"/>
        </w:rPr>
      </w:pPr>
      <w:r>
        <w:rPr>
          <w:rFonts w:hint="eastAsia" w:ascii="仿宋" w:hAnsi="仿宋" w:eastAsia="仿宋" w:cs="仿宋"/>
          <w:color w:val="auto"/>
          <w:kern w:val="0"/>
          <w:sz w:val="28"/>
          <w:szCs w:val="28"/>
          <w:highlight w:val="none"/>
          <w:shd w:val="clear" w:color="auto" w:fill="FFFFFF"/>
          <w:lang w:val="en-US" w:eastAsia="zh-CN" w:bidi="ar-SA"/>
        </w:rPr>
        <w:t xml:space="preserve"> </w:t>
      </w:r>
      <w:r>
        <w:rPr>
          <w:rFonts w:hint="eastAsia" w:ascii="仿宋" w:hAnsi="仿宋" w:eastAsia="仿宋" w:cs="仿宋"/>
          <w:b/>
          <w:bCs/>
          <w:color w:val="auto"/>
          <w:kern w:val="0"/>
          <w:sz w:val="28"/>
          <w:szCs w:val="28"/>
          <w:highlight w:val="none"/>
          <w:shd w:val="clear" w:color="auto" w:fill="FFFFFF"/>
          <w:lang w:val="en-US" w:eastAsia="zh-CN" w:bidi="ar-SA"/>
        </w:rPr>
        <w:t xml:space="preserve"> 以下无正文。</w:t>
      </w:r>
    </w:p>
    <w:p>
      <w:pPr>
        <w:keepNext w:val="0"/>
        <w:keepLines w:val="0"/>
        <w:pageBreakBefore w:val="0"/>
        <w:widowControl w:val="0"/>
        <w:tabs>
          <w:tab w:val="left" w:pos="680"/>
        </w:tabs>
        <w:kinsoku/>
        <w:wordWrap/>
        <w:overflowPunct/>
        <w:topLinePunct w:val="0"/>
        <w:autoSpaceDE/>
        <w:autoSpaceDN/>
        <w:bidi w:val="0"/>
        <w:adjustRightInd/>
        <w:snapToGrid/>
        <w:spacing w:before="157" w:beforeLines="50" w:after="157" w:afterLines="50" w:line="480" w:lineRule="auto"/>
        <w:ind w:firstLine="560" w:firstLineChars="200"/>
        <w:textAlignment w:val="auto"/>
        <w:outlineLvl w:val="9"/>
        <w:rPr>
          <w:rFonts w:hint="eastAsia" w:ascii="仿宋" w:hAnsi="仿宋" w:eastAsia="仿宋" w:cs="仿宋"/>
          <w:color w:val="auto"/>
          <w:kern w:val="0"/>
          <w:sz w:val="28"/>
          <w:szCs w:val="28"/>
          <w:highlight w:val="none"/>
          <w:shd w:val="clear" w:color="auto" w:fill="FFFFFF"/>
          <w:lang w:val="en-US" w:eastAsia="zh-CN" w:bidi="ar-SA"/>
        </w:rPr>
      </w:pPr>
      <w:r>
        <w:rPr>
          <w:rFonts w:hint="eastAsia" w:ascii="仿宋" w:hAnsi="仿宋" w:eastAsia="仿宋" w:cs="仿宋"/>
          <w:color w:val="auto"/>
          <w:kern w:val="0"/>
          <w:sz w:val="28"/>
          <w:szCs w:val="28"/>
          <w:highlight w:val="none"/>
          <w:shd w:val="clear" w:color="auto" w:fill="FFFFFF"/>
          <w:lang w:val="en-US" w:eastAsia="zh-CN" w:bidi="ar-SA"/>
        </w:rPr>
        <w:t xml:space="preserve">甲方（公章）：                      乙方（公章）：       </w:t>
      </w:r>
    </w:p>
    <w:p>
      <w:pPr>
        <w:keepNext w:val="0"/>
        <w:keepLines w:val="0"/>
        <w:pageBreakBefore w:val="0"/>
        <w:widowControl w:val="0"/>
        <w:tabs>
          <w:tab w:val="left" w:pos="680"/>
        </w:tabs>
        <w:kinsoku/>
        <w:wordWrap/>
        <w:overflowPunct/>
        <w:topLinePunct w:val="0"/>
        <w:autoSpaceDE/>
        <w:autoSpaceDN/>
        <w:bidi w:val="0"/>
        <w:adjustRightInd/>
        <w:snapToGrid/>
        <w:spacing w:before="157" w:beforeLines="50" w:after="157" w:afterLines="50" w:line="480" w:lineRule="auto"/>
        <w:ind w:firstLine="560" w:firstLineChars="200"/>
        <w:textAlignment w:val="auto"/>
        <w:outlineLvl w:val="9"/>
        <w:rPr>
          <w:rFonts w:hint="eastAsia" w:ascii="仿宋" w:hAnsi="仿宋" w:eastAsia="仿宋" w:cs="仿宋"/>
          <w:color w:val="auto"/>
          <w:kern w:val="0"/>
          <w:sz w:val="28"/>
          <w:szCs w:val="28"/>
          <w:highlight w:val="none"/>
          <w:shd w:val="clear" w:color="auto" w:fill="FFFFFF"/>
          <w:lang w:val="en-US" w:eastAsia="zh-CN" w:bidi="ar-SA"/>
        </w:rPr>
      </w:pPr>
      <w:r>
        <w:rPr>
          <w:rFonts w:hint="eastAsia" w:ascii="仿宋" w:hAnsi="仿宋" w:eastAsia="仿宋" w:cs="仿宋"/>
          <w:color w:val="auto"/>
          <w:kern w:val="0"/>
          <w:sz w:val="28"/>
          <w:szCs w:val="28"/>
          <w:highlight w:val="none"/>
          <w:shd w:val="clear" w:color="auto" w:fill="FFFFFF"/>
          <w:lang w:val="en-US" w:eastAsia="zh-CN" w:bidi="ar-SA"/>
        </w:rPr>
        <w:t>甲方代表签字：                      乙方代表签字：</w:t>
      </w:r>
    </w:p>
    <w:p>
      <w:pPr>
        <w:keepNext w:val="0"/>
        <w:keepLines w:val="0"/>
        <w:pageBreakBefore w:val="0"/>
        <w:widowControl w:val="0"/>
        <w:tabs>
          <w:tab w:val="left" w:pos="680"/>
        </w:tabs>
        <w:kinsoku/>
        <w:wordWrap/>
        <w:overflowPunct/>
        <w:topLinePunct w:val="0"/>
        <w:autoSpaceDE/>
        <w:autoSpaceDN/>
        <w:bidi w:val="0"/>
        <w:adjustRightInd/>
        <w:snapToGrid/>
        <w:spacing w:before="157" w:beforeLines="50" w:after="157" w:afterLines="50" w:line="480" w:lineRule="auto"/>
        <w:ind w:firstLine="560" w:firstLineChars="200"/>
        <w:textAlignment w:val="auto"/>
        <w:outlineLvl w:val="9"/>
        <w:rPr>
          <w:rFonts w:hint="default" w:ascii="仿宋" w:hAnsi="仿宋" w:eastAsia="仿宋" w:cs="仿宋"/>
          <w:color w:val="auto"/>
          <w:kern w:val="0"/>
          <w:sz w:val="28"/>
          <w:szCs w:val="28"/>
          <w:highlight w:val="none"/>
          <w:shd w:val="clear" w:color="auto" w:fill="FFFFFF"/>
          <w:lang w:val="en-US" w:eastAsia="zh-CN" w:bidi="ar-SA"/>
        </w:rPr>
      </w:pPr>
      <w:r>
        <w:rPr>
          <w:rFonts w:hint="eastAsia" w:ascii="仿宋" w:hAnsi="仿宋" w:eastAsia="仿宋" w:cs="仿宋"/>
          <w:color w:val="auto"/>
          <w:kern w:val="0"/>
          <w:sz w:val="28"/>
          <w:szCs w:val="28"/>
          <w:highlight w:val="none"/>
          <w:shd w:val="clear" w:color="auto" w:fill="FFFFFF"/>
          <w:lang w:val="en-US" w:eastAsia="zh-CN" w:bidi="ar-SA"/>
        </w:rPr>
        <w:t>联系方式：                          联系方式：</w:t>
      </w:r>
    </w:p>
    <w:p>
      <w:pPr>
        <w:keepNext w:val="0"/>
        <w:keepLines w:val="0"/>
        <w:pageBreakBefore w:val="0"/>
        <w:widowControl w:val="0"/>
        <w:tabs>
          <w:tab w:val="left" w:pos="680"/>
        </w:tabs>
        <w:kinsoku/>
        <w:wordWrap/>
        <w:overflowPunct/>
        <w:topLinePunct w:val="0"/>
        <w:autoSpaceDE/>
        <w:autoSpaceDN/>
        <w:bidi w:val="0"/>
        <w:adjustRightInd/>
        <w:snapToGrid/>
        <w:spacing w:before="157" w:beforeLines="50" w:after="157" w:afterLines="50" w:line="480" w:lineRule="auto"/>
        <w:ind w:firstLine="560" w:firstLineChars="200"/>
        <w:textAlignment w:val="auto"/>
        <w:outlineLvl w:val="9"/>
        <w:rPr>
          <w:rFonts w:hint="eastAsia" w:ascii="仿宋" w:hAnsi="仿宋" w:eastAsia="仿宋" w:cs="仿宋"/>
          <w:color w:val="auto"/>
          <w:sz w:val="28"/>
          <w:szCs w:val="28"/>
          <w:highlight w:val="none"/>
        </w:rPr>
      </w:pPr>
      <w:r>
        <w:rPr>
          <w:rFonts w:hint="eastAsia" w:ascii="仿宋" w:hAnsi="仿宋" w:eastAsia="仿宋" w:cs="仿宋"/>
          <w:color w:val="auto"/>
          <w:kern w:val="0"/>
          <w:sz w:val="28"/>
          <w:szCs w:val="28"/>
          <w:highlight w:val="none"/>
          <w:shd w:val="clear" w:color="auto" w:fill="FFFFFF"/>
          <w:lang w:val="en-US" w:eastAsia="zh-CN" w:bidi="ar-SA"/>
        </w:rPr>
        <w:t xml:space="preserve">日    期：                          日    期： </w:t>
      </w:r>
    </w:p>
    <w:p>
      <w:pPr>
        <w:keepNext w:val="0"/>
        <w:keepLines w:val="0"/>
        <w:pageBreakBefore w:val="0"/>
        <w:widowControl w:val="0"/>
        <w:tabs>
          <w:tab w:val="left" w:pos="690"/>
        </w:tabs>
        <w:kinsoku/>
        <w:wordWrap/>
        <w:overflowPunct/>
        <w:topLinePunct w:val="0"/>
        <w:autoSpaceDE/>
        <w:autoSpaceDN/>
        <w:bidi w:val="0"/>
        <w:adjustRightInd/>
        <w:snapToGrid/>
        <w:spacing w:line="480" w:lineRule="auto"/>
        <w:jc w:val="left"/>
        <w:textAlignment w:val="auto"/>
        <w:outlineLvl w:val="9"/>
        <w:rPr>
          <w:rFonts w:hint="eastAsia" w:ascii="仿宋" w:hAnsi="仿宋" w:eastAsia="仿宋" w:cs="仿宋"/>
          <w:color w:val="auto"/>
          <w:sz w:val="28"/>
          <w:szCs w:val="28"/>
          <w:highlight w:val="none"/>
        </w:rPr>
        <w:sectPr>
          <w:headerReference r:id="rId9" w:type="default"/>
          <w:footerReference r:id="rId10" w:type="default"/>
          <w:footerReference r:id="rId11" w:type="even"/>
          <w:pgSz w:w="11906" w:h="16838"/>
          <w:pgMar w:top="567" w:right="850" w:bottom="567" w:left="1134" w:header="851" w:footer="992" w:gutter="0"/>
          <w:pgBorders>
            <w:top w:val="none" w:sz="0" w:space="0"/>
            <w:left w:val="none" w:sz="0" w:space="0"/>
            <w:bottom w:val="none" w:sz="0" w:space="0"/>
            <w:right w:val="none" w:sz="0" w:space="0"/>
          </w:pgBorders>
          <w:cols w:space="720" w:num="1"/>
          <w:docGrid w:type="lines" w:linePitch="312" w:charSpace="0"/>
        </w:sectPr>
      </w:pPr>
    </w:p>
    <w:p>
      <w:pPr>
        <w:keepNext w:val="0"/>
        <w:keepLines w:val="0"/>
        <w:pageBreakBefore w:val="0"/>
        <w:widowControl w:val="0"/>
        <w:tabs>
          <w:tab w:val="left" w:pos="690"/>
        </w:tabs>
        <w:kinsoku/>
        <w:wordWrap/>
        <w:overflowPunct/>
        <w:topLinePunct w:val="0"/>
        <w:autoSpaceDE/>
        <w:autoSpaceDN/>
        <w:bidi w:val="0"/>
        <w:adjustRightInd/>
        <w:snapToGrid/>
        <w:spacing w:line="480" w:lineRule="auto"/>
        <w:jc w:val="left"/>
        <w:textAlignment w:val="auto"/>
        <w:outlineLvl w:val="9"/>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附件：</w:t>
      </w:r>
    </w:p>
    <w:tbl>
      <w:tblPr>
        <w:tblStyle w:val="31"/>
        <w:tblW w:w="15930" w:type="dxa"/>
        <w:jc w:val="center"/>
        <w:tblInd w:w="0" w:type="dxa"/>
        <w:tblLayout w:type="fixed"/>
        <w:tblCellMar>
          <w:top w:w="0" w:type="dxa"/>
          <w:left w:w="0" w:type="dxa"/>
          <w:bottom w:w="0" w:type="dxa"/>
          <w:right w:w="0" w:type="dxa"/>
        </w:tblCellMar>
      </w:tblPr>
      <w:tblGrid>
        <w:gridCol w:w="1035"/>
        <w:gridCol w:w="5385"/>
        <w:gridCol w:w="4770"/>
        <w:gridCol w:w="2610"/>
        <w:gridCol w:w="855"/>
        <w:gridCol w:w="735"/>
        <w:gridCol w:w="540"/>
      </w:tblGrid>
      <w:tr>
        <w:tblPrEx>
          <w:tblLayout w:type="fixed"/>
          <w:tblCellMar>
            <w:top w:w="0" w:type="dxa"/>
            <w:left w:w="0" w:type="dxa"/>
            <w:bottom w:w="0" w:type="dxa"/>
            <w:right w:w="0" w:type="dxa"/>
          </w:tblCellMar>
        </w:tblPrEx>
        <w:trPr>
          <w:trHeight w:val="510" w:hRule="atLeast"/>
          <w:jc w:val="center"/>
        </w:trPr>
        <w:tc>
          <w:tcPr>
            <w:tcW w:w="15930" w:type="dxa"/>
            <w:gridSpan w:val="7"/>
            <w:tcBorders>
              <w:top w:val="nil"/>
              <w:left w:val="nil"/>
              <w:bottom w:val="nil"/>
              <w:right w:val="nil"/>
            </w:tcBorders>
            <w:noWrap/>
            <w:tcMar>
              <w:top w:w="15" w:type="dxa"/>
              <w:left w:w="15" w:type="dxa"/>
              <w:right w:w="15" w:type="dxa"/>
            </w:tcMar>
            <w:vAlign w:val="center"/>
          </w:tcPr>
          <w:p>
            <w:pPr>
              <w:widowControl/>
              <w:jc w:val="center"/>
              <w:textAlignment w:val="center"/>
              <w:rPr>
                <w:rFonts w:hint="eastAsia" w:ascii="宋体" w:hAnsi="宋体" w:cs="宋体"/>
                <w:b/>
                <w:color w:val="auto"/>
                <w:sz w:val="40"/>
                <w:szCs w:val="40"/>
                <w:highlight w:val="none"/>
              </w:rPr>
            </w:pPr>
            <w:r>
              <w:rPr>
                <w:rFonts w:hint="eastAsia" w:ascii="宋体" w:hAnsi="宋体" w:cs="宋体"/>
                <w:b/>
                <w:color w:val="auto"/>
                <w:kern w:val="0"/>
                <w:sz w:val="40"/>
                <w:szCs w:val="40"/>
                <w:highlight w:val="none"/>
                <w:lang w:val="en-US" w:eastAsia="zh-CN" w:bidi="ar"/>
              </w:rPr>
              <w:t xml:space="preserve">   </w:t>
            </w:r>
            <w:r>
              <w:rPr>
                <w:rFonts w:hint="eastAsia" w:ascii="宋体" w:hAnsi="宋体" w:cs="宋体"/>
                <w:b/>
                <w:color w:val="auto"/>
                <w:kern w:val="0"/>
                <w:sz w:val="32"/>
                <w:szCs w:val="32"/>
                <w:highlight w:val="none"/>
                <w:lang w:bidi="ar"/>
              </w:rPr>
              <w:t>保洁维护评分手册</w:t>
            </w:r>
          </w:p>
        </w:tc>
      </w:tr>
      <w:tr>
        <w:tblPrEx>
          <w:tblLayout w:type="fixed"/>
          <w:tblCellMar>
            <w:top w:w="0" w:type="dxa"/>
            <w:left w:w="0" w:type="dxa"/>
            <w:bottom w:w="0" w:type="dxa"/>
            <w:right w:w="0" w:type="dxa"/>
          </w:tblCellMar>
        </w:tblPrEx>
        <w:trPr>
          <w:trHeight w:val="80" w:hRule="atLeast"/>
          <w:jc w:val="center"/>
        </w:trPr>
        <w:tc>
          <w:tcPr>
            <w:tcW w:w="15930" w:type="dxa"/>
            <w:gridSpan w:val="7"/>
            <w:tcBorders>
              <w:top w:val="nil"/>
              <w:left w:val="nil"/>
              <w:bottom w:val="nil"/>
              <w:right w:val="nil"/>
            </w:tcBorders>
            <w:noWrap/>
            <w:tcMar>
              <w:top w:w="15" w:type="dxa"/>
              <w:left w:w="15" w:type="dxa"/>
              <w:right w:w="15" w:type="dxa"/>
            </w:tcMar>
            <w:vAlign w:val="center"/>
          </w:tcPr>
          <w:p>
            <w:pPr>
              <w:rPr>
                <w:rFonts w:ascii="宋体" w:hAnsi="宋体" w:cs="宋体"/>
                <w:b/>
                <w:color w:val="auto"/>
                <w:sz w:val="24"/>
                <w:highlight w:val="none"/>
              </w:rPr>
            </w:pPr>
            <w:r>
              <w:rPr>
                <w:rFonts w:hint="eastAsia" w:ascii="宋体" w:hAnsi="宋体" w:cs="宋体"/>
                <w:b/>
                <w:color w:val="auto"/>
                <w:sz w:val="24"/>
                <w:highlight w:val="none"/>
              </w:rPr>
              <w:t xml:space="preserve">                                                          总分：</w:t>
            </w:r>
            <w:r>
              <w:rPr>
                <w:rFonts w:hint="eastAsia" w:ascii="宋体" w:hAnsi="宋体" w:cs="宋体"/>
                <w:b/>
                <w:color w:val="auto"/>
                <w:sz w:val="24"/>
                <w:highlight w:val="none"/>
                <w:lang w:val="en-US" w:eastAsia="zh-CN"/>
              </w:rPr>
              <w:t>1</w:t>
            </w:r>
            <w:r>
              <w:rPr>
                <w:rFonts w:hint="eastAsia" w:ascii="宋体" w:hAnsi="宋体" w:cs="宋体"/>
                <w:b/>
                <w:color w:val="auto"/>
                <w:sz w:val="24"/>
                <w:highlight w:val="none"/>
              </w:rPr>
              <w:t>00</w:t>
            </w:r>
          </w:p>
        </w:tc>
      </w:tr>
      <w:tr>
        <w:tblPrEx>
          <w:tblLayout w:type="fixed"/>
          <w:tblCellMar>
            <w:top w:w="0" w:type="dxa"/>
            <w:left w:w="0" w:type="dxa"/>
            <w:bottom w:w="0" w:type="dxa"/>
            <w:right w:w="0" w:type="dxa"/>
          </w:tblCellMar>
        </w:tblPrEx>
        <w:trPr>
          <w:trHeight w:val="390" w:hRule="atLeast"/>
          <w:jc w:val="center"/>
        </w:trPr>
        <w:tc>
          <w:tcPr>
            <w:tcW w:w="10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b/>
                <w:color w:val="auto"/>
                <w:sz w:val="18"/>
                <w:szCs w:val="18"/>
                <w:highlight w:val="none"/>
              </w:rPr>
            </w:pPr>
            <w:r>
              <w:rPr>
                <w:rFonts w:hint="eastAsia" w:ascii="宋体" w:hAnsi="宋体" w:cs="宋体"/>
                <w:b/>
                <w:color w:val="auto"/>
                <w:kern w:val="0"/>
                <w:sz w:val="18"/>
                <w:szCs w:val="18"/>
                <w:highlight w:val="none"/>
                <w:lang w:bidi="ar"/>
              </w:rPr>
              <w:t>文件内容</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b/>
                <w:color w:val="auto"/>
                <w:sz w:val="18"/>
                <w:szCs w:val="18"/>
                <w:highlight w:val="none"/>
              </w:rPr>
            </w:pPr>
            <w:r>
              <w:rPr>
                <w:rFonts w:hint="eastAsia" w:ascii="宋体" w:hAnsi="宋体" w:cs="宋体"/>
                <w:b/>
                <w:color w:val="auto"/>
                <w:kern w:val="0"/>
                <w:sz w:val="18"/>
                <w:szCs w:val="18"/>
                <w:highlight w:val="none"/>
                <w:lang w:bidi="ar"/>
              </w:rPr>
              <w:t xml:space="preserve">       评价方法</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b/>
                <w:color w:val="auto"/>
                <w:sz w:val="18"/>
                <w:szCs w:val="18"/>
                <w:highlight w:val="none"/>
              </w:rPr>
            </w:pPr>
            <w:r>
              <w:rPr>
                <w:rFonts w:hint="eastAsia" w:ascii="宋体" w:hAnsi="宋体" w:cs="宋体"/>
                <w:b/>
                <w:color w:val="auto"/>
                <w:kern w:val="0"/>
                <w:sz w:val="18"/>
                <w:szCs w:val="18"/>
                <w:highlight w:val="none"/>
                <w:lang w:bidi="ar"/>
              </w:rPr>
              <w:t>评价标准</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b/>
                <w:color w:val="auto"/>
                <w:sz w:val="18"/>
                <w:szCs w:val="18"/>
                <w:highlight w:val="none"/>
              </w:rPr>
            </w:pPr>
            <w:r>
              <w:rPr>
                <w:rFonts w:hint="eastAsia" w:ascii="宋体" w:hAnsi="宋体" w:cs="宋体"/>
                <w:b/>
                <w:color w:val="auto"/>
                <w:kern w:val="0"/>
                <w:sz w:val="18"/>
                <w:szCs w:val="18"/>
                <w:highlight w:val="none"/>
                <w:lang w:bidi="ar"/>
              </w:rPr>
              <w:t>文件类型</w:t>
            </w:r>
          </w:p>
        </w:tc>
        <w:tc>
          <w:tcPr>
            <w:tcW w:w="85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b/>
                <w:color w:val="auto"/>
                <w:sz w:val="18"/>
                <w:szCs w:val="18"/>
                <w:highlight w:val="none"/>
              </w:rPr>
            </w:pPr>
            <w:r>
              <w:rPr>
                <w:rFonts w:hint="eastAsia" w:ascii="宋体" w:hAnsi="宋体" w:cs="宋体"/>
                <w:b/>
                <w:color w:val="auto"/>
                <w:kern w:val="0"/>
                <w:sz w:val="18"/>
                <w:szCs w:val="18"/>
                <w:highlight w:val="none"/>
                <w:lang w:bidi="ar"/>
              </w:rPr>
              <w:t>评价频次</w:t>
            </w:r>
          </w:p>
        </w:tc>
        <w:tc>
          <w:tcPr>
            <w:tcW w:w="127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b/>
                <w:color w:val="auto"/>
                <w:sz w:val="18"/>
                <w:szCs w:val="18"/>
                <w:highlight w:val="none"/>
              </w:rPr>
            </w:pPr>
            <w:r>
              <w:rPr>
                <w:rFonts w:hint="eastAsia" w:ascii="宋体" w:hAnsi="宋体" w:cs="宋体"/>
                <w:b/>
                <w:color w:val="auto"/>
                <w:kern w:val="0"/>
                <w:sz w:val="18"/>
                <w:szCs w:val="18"/>
                <w:highlight w:val="none"/>
                <w:lang w:bidi="ar"/>
              </w:rPr>
              <w:t>分值</w:t>
            </w:r>
          </w:p>
        </w:tc>
      </w:tr>
      <w:tr>
        <w:tblPrEx>
          <w:tblLayout w:type="fixed"/>
          <w:tblCellMar>
            <w:top w:w="0" w:type="dxa"/>
            <w:left w:w="0" w:type="dxa"/>
            <w:bottom w:w="0" w:type="dxa"/>
            <w:right w:w="0" w:type="dxa"/>
          </w:tblCellMar>
        </w:tblPrEx>
        <w:trPr>
          <w:trHeight w:val="450" w:hRule="atLeast"/>
          <w:jc w:val="center"/>
        </w:trPr>
        <w:tc>
          <w:tcPr>
            <w:tcW w:w="10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b/>
                <w:color w:val="auto"/>
                <w:sz w:val="18"/>
                <w:szCs w:val="18"/>
                <w:highlight w:val="none"/>
              </w:rPr>
            </w:pPr>
            <w:r>
              <w:rPr>
                <w:rFonts w:hint="eastAsia" w:ascii="宋体" w:hAnsi="宋体" w:cs="宋体"/>
                <w:b/>
                <w:color w:val="auto"/>
                <w:kern w:val="0"/>
                <w:sz w:val="18"/>
                <w:szCs w:val="18"/>
                <w:highlight w:val="none"/>
                <w:lang w:bidi="ar"/>
              </w:rPr>
              <w:t>文件编号</w:t>
            </w:r>
          </w:p>
        </w:tc>
        <w:tc>
          <w:tcPr>
            <w:tcW w:w="53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b/>
                <w:color w:val="auto"/>
                <w:sz w:val="20"/>
                <w:szCs w:val="20"/>
                <w:highlight w:val="none"/>
              </w:rPr>
            </w:pPr>
            <w:r>
              <w:rPr>
                <w:rFonts w:hint="eastAsia" w:ascii="宋体" w:hAnsi="宋体" w:cs="宋体"/>
                <w:b/>
                <w:color w:val="auto"/>
                <w:kern w:val="0"/>
                <w:sz w:val="20"/>
                <w:szCs w:val="20"/>
                <w:highlight w:val="none"/>
                <w:lang w:bidi="ar"/>
              </w:rPr>
              <w:t>文件内容</w:t>
            </w:r>
          </w:p>
        </w:tc>
        <w:tc>
          <w:tcPr>
            <w:tcW w:w="47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b/>
                <w:color w:val="auto"/>
                <w:sz w:val="20"/>
                <w:szCs w:val="20"/>
                <w:highlight w:val="none"/>
              </w:rPr>
            </w:pPr>
            <w:r>
              <w:rPr>
                <w:rFonts w:hint="eastAsia" w:ascii="宋体" w:hAnsi="宋体" w:cs="宋体"/>
                <w:b/>
                <w:color w:val="auto"/>
                <w:kern w:val="0"/>
                <w:sz w:val="20"/>
                <w:szCs w:val="20"/>
                <w:highlight w:val="none"/>
                <w:lang w:bidi="ar"/>
              </w:rPr>
              <w:t>评价方法</w:t>
            </w:r>
          </w:p>
        </w:tc>
        <w:tc>
          <w:tcPr>
            <w:tcW w:w="26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b/>
                <w:color w:val="auto"/>
                <w:sz w:val="20"/>
                <w:szCs w:val="20"/>
                <w:highlight w:val="none"/>
              </w:rPr>
            </w:pPr>
            <w:r>
              <w:rPr>
                <w:rFonts w:hint="eastAsia" w:ascii="宋体" w:hAnsi="宋体" w:cs="宋体"/>
                <w:b/>
                <w:color w:val="auto"/>
                <w:kern w:val="0"/>
                <w:sz w:val="20"/>
                <w:szCs w:val="20"/>
                <w:highlight w:val="none"/>
                <w:lang w:bidi="ar"/>
              </w:rPr>
              <w:t>评价标准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b/>
                <w:color w:val="auto"/>
                <w:sz w:val="20"/>
                <w:szCs w:val="20"/>
                <w:highlight w:val="none"/>
              </w:rPr>
            </w:pPr>
            <w:r>
              <w:rPr>
                <w:rFonts w:hint="eastAsia" w:ascii="宋体" w:hAnsi="宋体" w:cs="宋体"/>
                <w:b/>
                <w:color w:val="auto"/>
                <w:kern w:val="0"/>
                <w:sz w:val="20"/>
                <w:szCs w:val="20"/>
                <w:highlight w:val="none"/>
                <w:lang w:bidi="ar"/>
              </w:rPr>
              <w:t>文件类型</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b/>
                <w:color w:val="auto"/>
                <w:sz w:val="20"/>
                <w:szCs w:val="20"/>
                <w:highlight w:val="none"/>
              </w:rPr>
            </w:pPr>
            <w:r>
              <w:rPr>
                <w:rFonts w:hint="eastAsia" w:ascii="宋体" w:hAnsi="宋体" w:cs="宋体"/>
                <w:b/>
                <w:color w:val="auto"/>
                <w:kern w:val="0"/>
                <w:sz w:val="20"/>
                <w:szCs w:val="20"/>
                <w:highlight w:val="none"/>
                <w:lang w:bidi="ar"/>
              </w:rPr>
              <w:t>评价频次</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b/>
                <w:color w:val="auto"/>
                <w:sz w:val="20"/>
                <w:szCs w:val="20"/>
                <w:highlight w:val="none"/>
              </w:rPr>
            </w:pPr>
            <w:r>
              <w:rPr>
                <w:rFonts w:hint="eastAsia" w:ascii="宋体" w:hAnsi="宋体" w:cs="宋体"/>
                <w:b/>
                <w:color w:val="auto"/>
                <w:kern w:val="0"/>
                <w:sz w:val="20"/>
                <w:szCs w:val="20"/>
                <w:highlight w:val="none"/>
                <w:lang w:bidi="ar"/>
              </w:rPr>
              <w:t>分值</w:t>
            </w:r>
          </w:p>
        </w:tc>
      </w:tr>
      <w:tr>
        <w:tblPrEx>
          <w:tblLayout w:type="fixed"/>
          <w:tblCellMar>
            <w:top w:w="0" w:type="dxa"/>
            <w:left w:w="0" w:type="dxa"/>
            <w:bottom w:w="0" w:type="dxa"/>
            <w:right w:w="0" w:type="dxa"/>
          </w:tblCellMar>
        </w:tblPrEx>
        <w:trPr>
          <w:trHeight w:val="1125" w:hRule="atLeast"/>
          <w:jc w:val="center"/>
        </w:trPr>
        <w:tc>
          <w:tcPr>
            <w:tcW w:w="1035" w:type="dxa"/>
            <w:vMerge w:val="restart"/>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BI规范要求</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工作时间内着统一工装，并保持干净、平整，无明显污迹、破损。不敞开外衣，非工作需要不允许将衣袖、裤管卷起，不将衣物搭在肩上，外衣衣袖、衣领不显露个人衣物，服装衣袋不装过大过重的物品。</w:t>
            </w:r>
          </w:p>
        </w:tc>
        <w:tc>
          <w:tcPr>
            <w:tcW w:w="477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现场抽查3位</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BI</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所查</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衣着符合要求，无一处不合格</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3</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工号牌佩戴在规定位置，不歪斜、无破损、无污迹。</w:t>
            </w:r>
          </w:p>
        </w:tc>
        <w:tc>
          <w:tcPr>
            <w:tcW w:w="477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所查</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工号牌佩戴正确</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Theme="minorEastAsia" w:hAnsiTheme="minorEastAsia" w:eastAsiaTheme="minorEastAsia" w:cstheme="minorEastAsia"/>
                <w:color w:val="auto"/>
                <w:sz w:val="18"/>
                <w:szCs w:val="18"/>
                <w:highlight w:val="none"/>
              </w:rPr>
            </w:pP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所有</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头发保持整洁光鲜，不染怪异颜色</w:t>
            </w:r>
          </w:p>
        </w:tc>
        <w:tc>
          <w:tcPr>
            <w:tcW w:w="477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所查</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头发符合要求</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Theme="minorEastAsia" w:hAnsiTheme="minorEastAsia" w:eastAsiaTheme="minorEastAsia" w:cstheme="minorEastAsia"/>
                <w:color w:val="auto"/>
                <w:sz w:val="18"/>
                <w:szCs w:val="18"/>
                <w:highlight w:val="none"/>
              </w:rPr>
            </w:pP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保持手部干净，指甲不超过指肚，指甲内不应残留污物，不涂有色指甲油</w:t>
            </w:r>
          </w:p>
        </w:tc>
        <w:tc>
          <w:tcPr>
            <w:tcW w:w="477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所查</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手部符合要求</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Theme="minorEastAsia" w:hAnsiTheme="minorEastAsia" w:eastAsiaTheme="minorEastAsia" w:cstheme="minorEastAsia"/>
                <w:color w:val="auto"/>
                <w:sz w:val="18"/>
                <w:szCs w:val="18"/>
                <w:highlight w:val="none"/>
              </w:rPr>
            </w:pP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上班前不吃有异味的食品，保持口腔清洁，口气清新</w:t>
            </w:r>
          </w:p>
        </w:tc>
        <w:tc>
          <w:tcPr>
            <w:tcW w:w="477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抽查</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口气清新</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Theme="minorEastAsia" w:hAnsiTheme="minorEastAsia" w:eastAsiaTheme="minorEastAsia" w:cstheme="minorEastAsia"/>
                <w:color w:val="auto"/>
                <w:sz w:val="18"/>
                <w:szCs w:val="18"/>
                <w:highlight w:val="none"/>
              </w:rPr>
            </w:pP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上班时不在客户面前或公共场所整理仪容仪表。</w:t>
            </w:r>
          </w:p>
        </w:tc>
        <w:tc>
          <w:tcPr>
            <w:tcW w:w="477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未发现</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在客户面前或公共场所整理仪容仪表</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Theme="minorEastAsia" w:hAnsiTheme="minorEastAsia" w:eastAsiaTheme="minorEastAsia" w:cstheme="minorEastAsia"/>
                <w:color w:val="auto"/>
                <w:sz w:val="18"/>
                <w:szCs w:val="18"/>
                <w:highlight w:val="none"/>
              </w:rPr>
            </w:pPr>
          </w:p>
        </w:tc>
      </w:tr>
      <w:tr>
        <w:tblPrEx>
          <w:tblLayout w:type="fixed"/>
          <w:tblCellMar>
            <w:top w:w="0" w:type="dxa"/>
            <w:left w:w="0" w:type="dxa"/>
            <w:bottom w:w="0" w:type="dxa"/>
            <w:right w:w="0" w:type="dxa"/>
          </w:tblCellMar>
        </w:tblPrEx>
        <w:trPr>
          <w:trHeight w:val="900" w:hRule="atLeast"/>
          <w:jc w:val="center"/>
        </w:trPr>
        <w:tc>
          <w:tcPr>
            <w:tcW w:w="1035" w:type="dxa"/>
            <w:vMerge w:val="restart"/>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行为规范要求</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面对客户时面带微笑，热情主动。对客户的询问、评价或投诉耐心倾听，记下客户房号、姓名和所描述的问题，当日内及时反馈至班长或主管，或直接指引客户到物业客服中心。</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观察</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与客户交流时是否符合标准或抽问</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面对客户的询问、投诉应怎么处理</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现场</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行为符合要求或回答正确得2分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675" w:hRule="atLeast"/>
          <w:jc w:val="center"/>
        </w:trPr>
        <w:tc>
          <w:tcPr>
            <w:tcW w:w="1035"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在小区内行走，不要勾肩搭背、大声嬉闹，遇客户需主动侧面让路并点头致意或问候“您好”，不与客户抢道</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观察</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在园区的行为或询问</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在小区内行走应注意什么</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现场</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行为符合要求或回答正确得2分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900" w:hRule="atLeast"/>
          <w:jc w:val="center"/>
        </w:trPr>
        <w:tc>
          <w:tcPr>
            <w:tcW w:w="1035"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上班时间在小区公共场所不吸烟、不打堆聊天，不将双手插入裤兜，不做与工作无关的事情，工作应做到三轻，即操作轻，走路轻，说话轻</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观察</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在园区的行为或询问</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公共场所应注意什么</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现场</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行为符合要求或回答正确得2分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现场作业时工具应放置在规定位置，并摆放整齐，作业结束及时收回工具</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查看园区作业现象的</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工及摆放情况</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工具随人走，摆放在规定位置，整齐得1分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在楼道内等公共区域进行作业时，应放置相关的标识，以知会相关人员</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查看作业现场标识放置</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有使用正确标识牌得1分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遇客户问路，需放下手中工具，使用规范动作进行指引</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查看作业的行为或问</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作业时遇到客户问路应怎么做</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行为符合要求或回答正确得2分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客户触点</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工作进行中遇见客户，暂停操作，待客户离开时再继续操作</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查看作业</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行为或问</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作业时遇到客户应怎么做</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行为符合要求或回答正确得2分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客户触点</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周</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65"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b/>
                <w:color w:val="auto"/>
                <w:sz w:val="20"/>
                <w:szCs w:val="20"/>
                <w:highlight w:val="none"/>
              </w:rPr>
            </w:pPr>
            <w:r>
              <w:rPr>
                <w:rFonts w:hint="eastAsia" w:ascii="宋体" w:hAnsi="宋体" w:cs="宋体"/>
                <w:b/>
                <w:color w:val="auto"/>
                <w:kern w:val="0"/>
                <w:sz w:val="20"/>
                <w:szCs w:val="20"/>
                <w:highlight w:val="none"/>
                <w:lang w:bidi="ar"/>
              </w:rPr>
              <w:t>培训管理</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Style w:val="136"/>
                <w:rFonts w:hint="default"/>
                <w:color w:val="auto"/>
                <w:highlight w:val="none"/>
                <w:lang w:bidi="ar"/>
              </w:rPr>
              <w:t>服务供方每年</w:t>
            </w:r>
            <w:r>
              <w:rPr>
                <w:rStyle w:val="76"/>
                <w:color w:val="auto"/>
                <w:highlight w:val="none"/>
                <w:lang w:bidi="ar"/>
              </w:rPr>
              <w:t>12</w:t>
            </w:r>
            <w:r>
              <w:rPr>
                <w:rStyle w:val="136"/>
                <w:rFonts w:hint="default"/>
                <w:color w:val="auto"/>
                <w:highlight w:val="none"/>
                <w:lang w:bidi="ar"/>
              </w:rPr>
              <w:t>月</w:t>
            </w:r>
            <w:r>
              <w:rPr>
                <w:rStyle w:val="76"/>
                <w:color w:val="auto"/>
                <w:highlight w:val="none"/>
                <w:lang w:bidi="ar"/>
              </w:rPr>
              <w:t>25</w:t>
            </w:r>
            <w:r>
              <w:rPr>
                <w:rStyle w:val="136"/>
                <w:rFonts w:hint="default"/>
                <w:color w:val="auto"/>
                <w:highlight w:val="none"/>
                <w:lang w:bidi="ar"/>
              </w:rPr>
              <w:t>日前提交次年培训计划，涉及需要物业服务中心提供支持的培训应提前进行沟通。</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12月查供方培训计划提交情况</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按时提交培训计划得2分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年度</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108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b/>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Style w:val="136"/>
                <w:rFonts w:hint="default"/>
                <w:color w:val="auto"/>
                <w:highlight w:val="none"/>
                <w:lang w:bidi="ar"/>
              </w:rPr>
              <w:t>服务供方每月</w:t>
            </w:r>
            <w:r>
              <w:rPr>
                <w:rStyle w:val="76"/>
                <w:color w:val="auto"/>
                <w:highlight w:val="none"/>
                <w:lang w:bidi="ar"/>
              </w:rPr>
              <w:t>25</w:t>
            </w:r>
            <w:r>
              <w:rPr>
                <w:rStyle w:val="136"/>
                <w:rFonts w:hint="default"/>
                <w:color w:val="auto"/>
                <w:highlight w:val="none"/>
                <w:lang w:bidi="ar"/>
              </w:rPr>
              <w:t>日前提交次月培训计划，培训计划可作为工作计划的一部分内容。培训计划的内容包括但不限于：</w:t>
            </w:r>
            <w:r>
              <w:rPr>
                <w:rStyle w:val="76"/>
                <w:color w:val="auto"/>
                <w:highlight w:val="none"/>
                <w:lang w:bidi="ar"/>
              </w:rPr>
              <w:t>BI</w:t>
            </w:r>
            <w:r>
              <w:rPr>
                <w:rStyle w:val="136"/>
                <w:rFonts w:hint="default"/>
                <w:color w:val="auto"/>
                <w:highlight w:val="none"/>
                <w:lang w:bidi="ar"/>
              </w:rPr>
              <w:t>及行为规范、岗位服务技能、职业安全教育（高空作业、危险品使用、上下班途中、机具操作安全）等。</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查供方提供的月度工作计划</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Style w:val="136"/>
                <w:rFonts w:hint="default"/>
                <w:color w:val="auto"/>
                <w:highlight w:val="none"/>
                <w:lang w:bidi="ar"/>
              </w:rPr>
              <w:t>有培训计划、且内容包含了</w:t>
            </w:r>
            <w:r>
              <w:rPr>
                <w:rStyle w:val="76"/>
                <w:color w:val="auto"/>
                <w:highlight w:val="none"/>
                <w:lang w:bidi="ar"/>
              </w:rPr>
              <w:t xml:space="preserve"> BI</w:t>
            </w:r>
            <w:r>
              <w:rPr>
                <w:rStyle w:val="136"/>
                <w:rFonts w:hint="default"/>
                <w:color w:val="auto"/>
                <w:highlight w:val="none"/>
                <w:lang w:bidi="ar"/>
              </w:rPr>
              <w:t>及行为规范、岗位服务技能、职业安全教育得</w:t>
            </w:r>
            <w:r>
              <w:rPr>
                <w:rStyle w:val="76"/>
                <w:color w:val="auto"/>
                <w:highlight w:val="none"/>
                <w:lang w:bidi="ar"/>
              </w:rPr>
              <w:t>1</w:t>
            </w:r>
            <w:r>
              <w:rPr>
                <w:rStyle w:val="136"/>
                <w:rFonts w:hint="default"/>
                <w:color w:val="auto"/>
                <w:highlight w:val="none"/>
                <w:lang w:bidi="ar"/>
              </w:rPr>
              <w:t>分得2分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月度</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6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b/>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Style w:val="136"/>
                <w:rFonts w:hint="default"/>
                <w:color w:val="auto"/>
                <w:highlight w:val="none"/>
                <w:lang w:bidi="ar"/>
              </w:rPr>
              <w:t>服务供方每月不少于</w:t>
            </w:r>
            <w:r>
              <w:rPr>
                <w:rStyle w:val="76"/>
                <w:color w:val="auto"/>
                <w:highlight w:val="none"/>
                <w:lang w:bidi="ar"/>
              </w:rPr>
              <w:t>2</w:t>
            </w:r>
            <w:r>
              <w:rPr>
                <w:rStyle w:val="136"/>
                <w:rFonts w:hint="default"/>
                <w:color w:val="auto"/>
                <w:highlight w:val="none"/>
                <w:lang w:bidi="ar"/>
              </w:rPr>
              <w:t>次岗位服务技能的培训，不少于</w:t>
            </w:r>
            <w:r>
              <w:rPr>
                <w:rStyle w:val="76"/>
                <w:color w:val="auto"/>
                <w:highlight w:val="none"/>
                <w:lang w:bidi="ar"/>
              </w:rPr>
              <w:t>1</w:t>
            </w:r>
            <w:r>
              <w:rPr>
                <w:rStyle w:val="136"/>
                <w:rFonts w:hint="default"/>
                <w:color w:val="auto"/>
                <w:highlight w:val="none"/>
                <w:lang w:bidi="ar"/>
              </w:rPr>
              <w:t>次的职业安全教育培</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查培训记录</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Style w:val="136"/>
                <w:rFonts w:hint="default"/>
                <w:color w:val="auto"/>
                <w:highlight w:val="none"/>
                <w:lang w:bidi="ar"/>
              </w:rPr>
              <w:t>供方提供的培训内容和频次符合要求得</w:t>
            </w:r>
            <w:r>
              <w:rPr>
                <w:rStyle w:val="76"/>
                <w:color w:val="auto"/>
                <w:highlight w:val="none"/>
                <w:lang w:bidi="ar"/>
              </w:rPr>
              <w:t>1</w:t>
            </w:r>
            <w:r>
              <w:rPr>
                <w:rStyle w:val="136"/>
                <w:rFonts w:hint="default"/>
                <w:color w:val="auto"/>
                <w:highlight w:val="none"/>
                <w:lang w:bidi="ar"/>
              </w:rPr>
              <w:t>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月度</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106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b/>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Style w:val="136"/>
                <w:rFonts w:hint="default"/>
                <w:color w:val="auto"/>
                <w:highlight w:val="none"/>
                <w:lang w:bidi="ar"/>
              </w:rPr>
              <w:t>物业服务中心环境部门负责人每季度不少于</w:t>
            </w:r>
            <w:r>
              <w:rPr>
                <w:rStyle w:val="76"/>
                <w:color w:val="auto"/>
                <w:highlight w:val="none"/>
                <w:lang w:bidi="ar"/>
              </w:rPr>
              <w:t>1</w:t>
            </w:r>
            <w:r>
              <w:rPr>
                <w:rStyle w:val="136"/>
                <w:rFonts w:hint="default"/>
                <w:color w:val="auto"/>
                <w:highlight w:val="none"/>
                <w:lang w:bidi="ar"/>
              </w:rPr>
              <w:t>次对服务供方人员的培训，培训内容包括但不限于：公司企业文化（年度</w:t>
            </w:r>
            <w:r>
              <w:rPr>
                <w:rStyle w:val="76"/>
                <w:color w:val="auto"/>
                <w:highlight w:val="none"/>
                <w:lang w:bidi="ar"/>
              </w:rPr>
              <w:t>1</w:t>
            </w:r>
            <w:r>
              <w:rPr>
                <w:rStyle w:val="136"/>
                <w:rFonts w:hint="default"/>
                <w:color w:val="auto"/>
                <w:highlight w:val="none"/>
                <w:lang w:bidi="ar"/>
              </w:rPr>
              <w:t>次）、季度</w:t>
            </w:r>
            <w:r>
              <w:rPr>
                <w:rStyle w:val="76"/>
                <w:color w:val="auto"/>
                <w:highlight w:val="none"/>
                <w:lang w:bidi="ar"/>
              </w:rPr>
              <w:t>1</w:t>
            </w:r>
            <w:r>
              <w:rPr>
                <w:rStyle w:val="136"/>
                <w:rFonts w:hint="default"/>
                <w:color w:val="auto"/>
                <w:highlight w:val="none"/>
                <w:lang w:bidi="ar"/>
              </w:rPr>
              <w:t>次规范及服务标准、季度</w:t>
            </w:r>
            <w:r>
              <w:rPr>
                <w:rStyle w:val="76"/>
                <w:color w:val="auto"/>
                <w:highlight w:val="none"/>
                <w:lang w:bidi="ar"/>
              </w:rPr>
              <w:t>1</w:t>
            </w:r>
            <w:r>
              <w:rPr>
                <w:rStyle w:val="136"/>
                <w:rFonts w:hint="default"/>
                <w:color w:val="auto"/>
                <w:highlight w:val="none"/>
                <w:lang w:bidi="ar"/>
              </w:rPr>
              <w:t>次职业安全教育（消防器材使用、治安安全）。</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查培训记录</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Style w:val="136"/>
                <w:rFonts w:hint="default"/>
                <w:color w:val="auto"/>
                <w:highlight w:val="none"/>
                <w:lang w:bidi="ar"/>
              </w:rPr>
              <w:t>环境负责人开展培训内容和频次符合要求得</w:t>
            </w:r>
            <w:r>
              <w:rPr>
                <w:rStyle w:val="76"/>
                <w:color w:val="auto"/>
                <w:highlight w:val="none"/>
                <w:lang w:bidi="ar"/>
              </w:rPr>
              <w:t>1</w:t>
            </w:r>
            <w:r>
              <w:rPr>
                <w:rStyle w:val="136"/>
                <w:rFonts w:hint="default"/>
                <w:color w:val="auto"/>
                <w:highlight w:val="none"/>
                <w:lang w:bidi="ar"/>
              </w:rPr>
              <w:t>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季度</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500"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库房及物料管理</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服务供方在物业服务中心的库房，应按每50平米配置ABC干粉灭火器1具、温湿度计、通风口、货架等必要的设施设备。</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抽查供方库房的配置</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按标准配置灭火器、有货架得3分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季度</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1.5</w:t>
            </w:r>
          </w:p>
        </w:tc>
      </w:tr>
      <w:tr>
        <w:tblPrEx>
          <w:tblLayout w:type="fixed"/>
          <w:tblCellMar>
            <w:top w:w="0" w:type="dxa"/>
            <w:left w:w="0" w:type="dxa"/>
            <w:bottom w:w="0" w:type="dxa"/>
            <w:right w:w="0" w:type="dxa"/>
          </w:tblCellMar>
        </w:tblPrEx>
        <w:trPr>
          <w:trHeight w:val="28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库房应有专人管理，物品应做到上架处理，避免受潮</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查看库房物资摆放情况</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易受潮物品均上架得1分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月度</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库房的物资进出应有详细的记录</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查供方的物资领用记录</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有记录，填写完整得3分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季度</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1.5</w:t>
            </w:r>
          </w:p>
        </w:tc>
      </w:tr>
      <w:tr>
        <w:tblPrEx>
          <w:tblLayout w:type="fixed"/>
          <w:tblCellMar>
            <w:top w:w="0" w:type="dxa"/>
            <w:left w:w="0" w:type="dxa"/>
            <w:bottom w:w="0" w:type="dxa"/>
            <w:right w:w="0" w:type="dxa"/>
          </w:tblCellMar>
        </w:tblPrEx>
        <w:trPr>
          <w:trHeight w:val="30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18"/>
                <w:szCs w:val="18"/>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库房物资的存量应至少确保1个月的用量</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抽查2种物资库房存量是否不少于上月用量</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物资库存不少于上月用量得1分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季度</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700" w:hRule="atLeast"/>
          <w:jc w:val="center"/>
        </w:trPr>
        <w:tc>
          <w:tcPr>
            <w:tcW w:w="10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Times New Roman" w:hAnsi="Times New Roman"/>
                <w:color w:val="auto"/>
                <w:sz w:val="18"/>
                <w:szCs w:val="18"/>
                <w:highlight w:val="none"/>
              </w:rPr>
            </w:pPr>
            <w:r>
              <w:rPr>
                <w:rStyle w:val="76"/>
                <w:color w:val="auto"/>
                <w:highlight w:val="none"/>
                <w:lang w:bidi="ar"/>
              </w:rPr>
              <w:t xml:space="preserve"> </w:t>
            </w:r>
            <w:r>
              <w:rPr>
                <w:rStyle w:val="136"/>
                <w:rFonts w:hint="default"/>
                <w:color w:val="auto"/>
                <w:highlight w:val="none"/>
                <w:lang w:bidi="ar"/>
              </w:rPr>
              <w:t>休息室及宿舍管理</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休息室及宿舍内无私拉乱接电线、物品摆放整齐、墙面无乱贴乱画，地面无垃圾纸屑、房内无异味，地下室区域的休息室应每日通风透气。</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查休息室及宿舍内有无私拉乱接电线、物品摆放整齐否、墙面有无乱贴乱画，地面有无垃圾纸屑、房内有无异味，地下室区域的休息室应是否通风透气。</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均符合要求得1分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季度</w:t>
            </w:r>
          </w:p>
        </w:tc>
        <w:tc>
          <w:tcPr>
            <w:tcW w:w="54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1440"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服务供方督导  </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服务供方督导                                      1) 物业服务中心负责每月依据相关联的、分公司督导手册的内容及合同考核附件之服务质量标准对服务供方的服务质量进行抽查进行日常例行检查，并对检查的结果填写检查记录表，对不符合项问题双方管理人员应签字确认,作为月度考评、付款追述依据；</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查看检查记录，检查记录的结果有无运用到供方考评中。</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月度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8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2) 物业服务中心负责对各层级、各类检查出的不符合项进行跟踪验证，直至问题关闭为止；</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查看验证记录，对验证的结果有无运用到供方考评中。</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年度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8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3) 物业服务中心对服务供方的日常检查结果应做为对服务供方的月度评价付款的主要依据；</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查看日常检查结果，结果有无运用到月度评价付款。</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月度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3420" w:hRule="atLeast"/>
          <w:jc w:val="center"/>
        </w:trPr>
        <w:tc>
          <w:tcPr>
            <w:tcW w:w="10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服务供方评估、考核</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kern w:val="0"/>
                <w:sz w:val="20"/>
                <w:szCs w:val="20"/>
                <w:highlight w:val="none"/>
                <w:lang w:eastAsia="zh-CN" w:bidi="ar"/>
              </w:rPr>
            </w:pPr>
            <w:r>
              <w:rPr>
                <w:rFonts w:hint="eastAsia" w:ascii="宋体" w:hAnsi="宋体" w:cs="宋体"/>
                <w:color w:val="auto"/>
                <w:kern w:val="0"/>
                <w:sz w:val="20"/>
                <w:szCs w:val="20"/>
                <w:highlight w:val="none"/>
                <w:lang w:bidi="ar"/>
              </w:rPr>
              <w:t>服务供方评估、考核</w:t>
            </w:r>
          </w:p>
          <w:p>
            <w:pPr>
              <w:widowControl/>
              <w:jc w:val="left"/>
              <w:textAlignment w:val="center"/>
              <w:rPr>
                <w:rFonts w:hint="eastAsia" w:ascii="宋体" w:hAnsi="宋体" w:eastAsia="宋体" w:cs="宋体"/>
                <w:color w:val="auto"/>
                <w:kern w:val="0"/>
                <w:sz w:val="20"/>
                <w:szCs w:val="20"/>
                <w:highlight w:val="none"/>
                <w:lang w:eastAsia="zh-CN" w:bidi="ar"/>
              </w:rPr>
            </w:pPr>
            <w:r>
              <w:rPr>
                <w:rFonts w:hint="eastAsia" w:ascii="宋体" w:hAnsi="宋体" w:cs="宋体"/>
                <w:color w:val="auto"/>
                <w:kern w:val="0"/>
                <w:sz w:val="20"/>
                <w:szCs w:val="20"/>
                <w:highlight w:val="none"/>
                <w:lang w:bidi="ar"/>
              </w:rPr>
              <w:t>1) 物业服务中心按照合同附件之考核标准的具体条款，进行考核；</w:t>
            </w:r>
          </w:p>
          <w:p>
            <w:pPr>
              <w:widowControl/>
              <w:jc w:val="left"/>
              <w:textAlignment w:val="center"/>
              <w:rPr>
                <w:rFonts w:hint="eastAsia" w:ascii="宋体" w:hAnsi="宋体" w:eastAsia="宋体" w:cs="宋体"/>
                <w:color w:val="auto"/>
                <w:kern w:val="0"/>
                <w:sz w:val="20"/>
                <w:szCs w:val="20"/>
                <w:highlight w:val="none"/>
                <w:lang w:eastAsia="zh-CN" w:bidi="ar"/>
              </w:rPr>
            </w:pPr>
            <w:r>
              <w:rPr>
                <w:rFonts w:hint="eastAsia" w:ascii="宋体" w:hAnsi="宋体" w:cs="宋体"/>
                <w:color w:val="auto"/>
                <w:kern w:val="0"/>
                <w:sz w:val="20"/>
                <w:szCs w:val="20"/>
                <w:highlight w:val="none"/>
                <w:lang w:bidi="ar"/>
              </w:rPr>
              <w:t>2) 物业服务中心对服务供方的评估考核应提供充分评价考核证据；</w:t>
            </w:r>
          </w:p>
          <w:p>
            <w:pPr>
              <w:widowControl/>
              <w:jc w:val="left"/>
              <w:textAlignment w:val="center"/>
              <w:rPr>
                <w:rFonts w:hint="eastAsia" w:ascii="宋体" w:hAnsi="宋体" w:eastAsia="宋体" w:cs="宋体"/>
                <w:color w:val="auto"/>
                <w:kern w:val="0"/>
                <w:sz w:val="20"/>
                <w:szCs w:val="20"/>
                <w:highlight w:val="none"/>
                <w:lang w:eastAsia="zh-CN" w:bidi="ar"/>
              </w:rPr>
            </w:pPr>
            <w:r>
              <w:rPr>
                <w:rFonts w:hint="eastAsia" w:ascii="宋体" w:hAnsi="宋体" w:cs="宋体"/>
                <w:color w:val="auto"/>
                <w:kern w:val="0"/>
                <w:sz w:val="20"/>
                <w:szCs w:val="20"/>
                <w:highlight w:val="none"/>
                <w:lang w:bidi="ar"/>
              </w:rPr>
              <w:t>3) 按月收集各类、各次检查的记录表，作为评价、考核依据；</w:t>
            </w:r>
          </w:p>
          <w:p>
            <w:pPr>
              <w:widowControl/>
              <w:jc w:val="left"/>
              <w:textAlignment w:val="center"/>
              <w:rPr>
                <w:rFonts w:hint="eastAsia" w:ascii="宋体" w:hAnsi="宋体" w:eastAsia="宋体" w:cs="宋体"/>
                <w:color w:val="auto"/>
                <w:kern w:val="0"/>
                <w:sz w:val="20"/>
                <w:szCs w:val="20"/>
                <w:highlight w:val="none"/>
                <w:lang w:eastAsia="zh-CN" w:bidi="ar"/>
              </w:rPr>
            </w:pPr>
            <w:r>
              <w:rPr>
                <w:rFonts w:hint="eastAsia" w:ascii="宋体" w:hAnsi="宋体" w:cs="宋体"/>
                <w:color w:val="auto"/>
                <w:kern w:val="0"/>
                <w:sz w:val="20"/>
                <w:szCs w:val="20"/>
                <w:highlight w:val="none"/>
                <w:lang w:bidi="ar"/>
              </w:rPr>
              <w:t>4) 根据收集的评价考核证据，填写《服务供方工作评估表》，并按照付款进行签呈；</w:t>
            </w:r>
          </w:p>
          <w:p>
            <w:pPr>
              <w:widowControl/>
              <w:jc w:val="left"/>
              <w:textAlignment w:val="center"/>
              <w:rPr>
                <w:rFonts w:hint="eastAsia" w:ascii="宋体" w:hAnsi="宋体" w:eastAsia="宋体" w:cs="宋体"/>
                <w:color w:val="auto"/>
                <w:kern w:val="0"/>
                <w:sz w:val="20"/>
                <w:szCs w:val="20"/>
                <w:highlight w:val="none"/>
                <w:lang w:eastAsia="zh-CN" w:bidi="ar"/>
              </w:rPr>
            </w:pPr>
            <w:r>
              <w:rPr>
                <w:rFonts w:hint="eastAsia" w:ascii="宋体" w:hAnsi="宋体" w:cs="宋体"/>
                <w:color w:val="auto"/>
                <w:kern w:val="0"/>
                <w:sz w:val="20"/>
                <w:szCs w:val="20"/>
                <w:highlight w:val="none"/>
                <w:lang w:bidi="ar"/>
              </w:rPr>
              <w:t>5) 签呈完毕后一份交公司财务作为当月付款依据，另复印在物业服务中心责任部门留存，以便日后查询；</w:t>
            </w:r>
          </w:p>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6) 服务合同期满后，物业服务中心需组织对服务供方进行年度评估，根据评估结果可提出续签合同或重新招标的申请。</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1.查看供方工作评估表，考评具有原始依据及可追溯性；                                           2.查看供方付款签呈中对考评扣款的执行情况；                                 3.查看合同期满后的年度评估内容，以及评估结果的运用情况。</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有1项为不合格扣1分；合格1项得1分。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年度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1.5</w:t>
            </w:r>
          </w:p>
        </w:tc>
      </w:tr>
      <w:tr>
        <w:tblPrEx>
          <w:tblLayout w:type="fixed"/>
          <w:tblCellMar>
            <w:top w:w="0" w:type="dxa"/>
            <w:left w:w="0" w:type="dxa"/>
            <w:bottom w:w="0" w:type="dxa"/>
            <w:right w:w="0" w:type="dxa"/>
          </w:tblCellMar>
        </w:tblPrEx>
        <w:trPr>
          <w:trHeight w:val="460"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4.1总坪及外围每日作业流程</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将准备好的工作车推至总坪岗位所要清洁的区域，并将推车停靠在路边或不阻挡业主行走的区域，摆放好相应的警示牌。</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现场查看</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是否将工具车停靠在路边，清洁作业现场有无相应警示牌</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919"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园区道路每日清洁，并2小时巡回保洁，高端标准1小时巡回保洁；地面无污渍、积水、垃圾杂物等；道路两边1.5米范围内、架空层周边无白色垃圾和杂物。</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通用标准：覆盖总坪2/3的区域，验证垃圾有无在2小时内处理； 检查园区主干道无垃圾、污迹、积水</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超过2处为不合格；合格得5分。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1.5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雨后2小时内清扫完毕主干道积水，及时擦拭园区休闲椅、游乐设施等，公共设施表面无水迹，高端标准雨后30分钟内清扫完毕主干道积水。</w:t>
            </w:r>
          </w:p>
        </w:tc>
        <w:tc>
          <w:tcPr>
            <w:tcW w:w="4770"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通用标准：检查园区主干道、休闲椅、游乐设施雨后2小时有无明显积水，其他区域积水在3小时内清理完毕</w:t>
            </w:r>
          </w:p>
        </w:tc>
        <w:tc>
          <w:tcPr>
            <w:tcW w:w="2610" w:type="dxa"/>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有1处1㎡以上的积水为不合格；合格得2分。</w:t>
            </w:r>
          </w:p>
        </w:tc>
        <w:tc>
          <w:tcPr>
            <w:tcW w:w="85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18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left"/>
              <w:rPr>
                <w:rFonts w:hint="eastAsia" w:ascii="宋体" w:hAnsi="宋体" w:cs="宋体"/>
                <w:color w:val="auto"/>
                <w:sz w:val="18"/>
                <w:szCs w:val="18"/>
                <w:highlight w:val="none"/>
              </w:rPr>
            </w:pPr>
          </w:p>
        </w:tc>
        <w:tc>
          <w:tcPr>
            <w:tcW w:w="4770" w:type="dxa"/>
            <w:vMerge w:val="continue"/>
            <w:tcBorders>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p>
        </w:tc>
        <w:tc>
          <w:tcPr>
            <w:tcW w:w="2610" w:type="dxa"/>
            <w:tcBorders>
              <w:top w:val="nil"/>
              <w:left w:val="single" w:color="000000" w:sz="4" w:space="0"/>
              <w:bottom w:val="single" w:color="000000" w:sz="4" w:space="0"/>
              <w:right w:val="single" w:color="000000" w:sz="4" w:space="0"/>
            </w:tcBorders>
            <w:noWrap w:val="0"/>
            <w:tcMar>
              <w:top w:w="15" w:type="dxa"/>
              <w:left w:w="15" w:type="dxa"/>
              <w:right w:w="15" w:type="dxa"/>
            </w:tcMar>
            <w:vAlign w:val="center"/>
          </w:tcPr>
          <w:p>
            <w:pPr>
              <w:rPr>
                <w:rFonts w:hint="eastAsia" w:ascii="宋体" w:hAnsi="宋体" w:cs="宋体"/>
                <w:color w:val="auto"/>
                <w:sz w:val="18"/>
                <w:szCs w:val="18"/>
                <w:highlight w:val="none"/>
              </w:rPr>
            </w:pPr>
          </w:p>
        </w:tc>
        <w:tc>
          <w:tcPr>
            <w:tcW w:w="85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73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40"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auto"/>
                <w:sz w:val="18"/>
                <w:szCs w:val="18"/>
                <w:highlight w:val="none"/>
              </w:rPr>
            </w:pP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休闲桌椅、游乐设施每日擦拭，每周消毒1次，保持表面光亮无污迹、无积尘。</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现场查看设施表面无污迹</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eastAsia="zh-CN"/>
              </w:rPr>
            </w:pPr>
            <w:r>
              <w:rPr>
                <w:rFonts w:hint="eastAsia" w:asciiTheme="minorEastAsia" w:hAnsiTheme="minorEastAsia" w:eastAsiaTheme="minorEastAsia" w:cstheme="minorEastAsia"/>
                <w:color w:val="auto"/>
                <w:sz w:val="18"/>
                <w:szCs w:val="18"/>
                <w:highlight w:val="none"/>
                <w:lang w:val="en-US" w:eastAsia="zh-CN"/>
              </w:rPr>
              <w:t>1</w:t>
            </w:r>
          </w:p>
        </w:tc>
      </w:tr>
      <w:tr>
        <w:tblPrEx>
          <w:tblLayout w:type="fixed"/>
          <w:tblCellMar>
            <w:top w:w="0" w:type="dxa"/>
            <w:left w:w="0" w:type="dxa"/>
            <w:bottom w:w="0" w:type="dxa"/>
            <w:right w:w="0" w:type="dxa"/>
          </w:tblCellMar>
        </w:tblPrEx>
        <w:trPr>
          <w:trHeight w:val="112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各种标识标牌（2米以下每日清洁，2米以上每周清洁）、装饰物、公告栏每日擦拭，表面无污迹、积尘、蛛网；外露3米以下消防管道、水管、气管等表面无污迹、积尘、蛛网；路灯灯杆2米以下每日擦拭，2米以上每月清洁一次，表面无污迹、积尘、蛛网。</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kern w:val="0"/>
                <w:sz w:val="18"/>
                <w:szCs w:val="18"/>
                <w:highlight w:val="none"/>
                <w:lang w:eastAsia="zh-CN" w:bidi="ar"/>
              </w:rPr>
            </w:pPr>
            <w:r>
              <w:rPr>
                <w:rFonts w:hint="eastAsia" w:ascii="宋体" w:hAnsi="宋体" w:cs="宋体"/>
                <w:color w:val="auto"/>
                <w:kern w:val="0"/>
                <w:sz w:val="18"/>
                <w:szCs w:val="18"/>
                <w:highlight w:val="none"/>
                <w:lang w:bidi="ar"/>
              </w:rPr>
              <w:t>1、随机抽查5处，管道表面无明显积尘、无污迹、无蛛网；</w:t>
            </w:r>
          </w:p>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2、查看保洁工作计划及记录的清洗频次。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有1处为不合格；合格得2分。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67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石材台面、室外玻璃、扶手每日清洁1次，表面无污迹、积尘，呈现石材本色；拖布池每日清理，池内无泥沙、杂物堵塞。</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 现场查看石材台面、室外玻璃、扶手无污迹、积尘，拖布池无泥沙杂物。</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有1处为不合格；合格得3分。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1.5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散水沟及雨篦子等地下管井，保持管道通畅无堵塞，无垃圾杂物、无异味外溢。</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 xml:space="preserve">随机抽查5处，无堵塞或是异味，无蚊蝇滋生。 </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有1处为不合格；合格得2分。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保持垃圾桶内胆干净，无积尘、无积水、无明显异味。</w:t>
            </w:r>
          </w:p>
        </w:tc>
        <w:tc>
          <w:tcPr>
            <w:tcW w:w="47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随机抽查5处，无积尘积水或是明显异味。</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有1处为不合格；合格得2分。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8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天台、雨篷每月清洁1次，无垃圾杂物、无积水。</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1、随机检查5个天台或雨棚，无垃圾杂物或积水；2、查看保洁工作计划及记录的清洗频次。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有2处为不合格；合格得2分。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67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垃圾桶内垃圾量不超过3/4，桶边无堆放垃圾，桶表面洁净无污迹，桶内无明显异味，高端标准垃圾桶垃圾量不超过2/3。</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kern w:val="0"/>
                <w:sz w:val="20"/>
                <w:szCs w:val="20"/>
                <w:highlight w:val="none"/>
                <w:lang w:eastAsia="zh-CN" w:bidi="ar"/>
              </w:rPr>
            </w:pPr>
            <w:r>
              <w:rPr>
                <w:rFonts w:hint="eastAsia" w:ascii="宋体" w:hAnsi="宋体" w:cs="宋体"/>
                <w:color w:val="auto"/>
                <w:kern w:val="0"/>
                <w:sz w:val="20"/>
                <w:szCs w:val="20"/>
                <w:highlight w:val="none"/>
                <w:lang w:bidi="ar"/>
              </w:rPr>
              <w:t>通用标准：1.抽查5处桶内垃圾不超过3/4，</w:t>
            </w:r>
          </w:p>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2.桶边无垃圾堆放，桶身干净，无异味</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超过1处为不合格；合格得3分。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1.5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井盖、水表井、电表箱、消防设施表面无水迹、无污迹。</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随机抽查5处，无水迹、无污迹</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有1处为不合格；合格得1分。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外墙腰线及平台上无垃圾杂物、无高挂物。</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随机抽查5处，无垃圾杂物、无高挂物</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有1处为不合格；合格得1分。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公区内无卫生死角，无成片成堆的垃圾超过24小时未处理。</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随机抽查园区各处，无超过24小时未处理的成片成堆垃圾</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有1处为不合格，合格得2分。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绿化带内无明显白色垃圾、宠物粪便等垃圾。</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绿化带内无白色垃圾、宠物粪便</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超过1处为不合格，合格得2分。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产生较大扬尘作业时，应事先做降尘处理，如吸尘、洒水，以免扬尘影响环境。</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询问保洁是否知道处理方法，现场观察</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操作是否有做处理</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有1处为不合格；合格得1分。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69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灯杆清洁、广告牌清洁、雨棚清洁等作业，在坠落高度基准面</w:t>
            </w:r>
            <w:r>
              <w:rPr>
                <w:rStyle w:val="76"/>
                <w:color w:val="auto"/>
                <w:highlight w:val="none"/>
                <w:lang w:bidi="ar"/>
              </w:rPr>
              <w:t>2</w:t>
            </w:r>
            <w:r>
              <w:rPr>
                <w:rStyle w:val="136"/>
                <w:rFonts w:hint="default"/>
                <w:color w:val="auto"/>
                <w:highlight w:val="none"/>
                <w:lang w:bidi="ar"/>
              </w:rPr>
              <w:t>米以上（含</w:t>
            </w:r>
            <w:r>
              <w:rPr>
                <w:rStyle w:val="76"/>
                <w:color w:val="auto"/>
                <w:highlight w:val="none"/>
                <w:lang w:bidi="ar"/>
              </w:rPr>
              <w:t>2</w:t>
            </w:r>
            <w:r>
              <w:rPr>
                <w:rStyle w:val="136"/>
                <w:rFonts w:hint="default"/>
                <w:color w:val="auto"/>
                <w:highlight w:val="none"/>
                <w:lang w:bidi="ar"/>
              </w:rPr>
              <w:t>米）的，属于高处作业，需遵循高处作业安全管理要求。</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现场查看高处作业有无使用安全带或安全帽等进行安全防护，现场有无安全警示</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有1处为不合格；合格得2分。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安全生产</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720"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单元楼道每日作业流程</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根据工作内容将需要的工具及材料拿进大堂内，放在靠墙的角落；放置“小心地滑”提示牌在显眼位置，湿拖地面后需待地面干燥才收回提示牌。</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现场查看</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是否将工具靠墙放置，清洁作业现场有无相应标识牌</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有1项为不合格；合格得3分。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安全生产</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1.5</w:t>
            </w:r>
          </w:p>
        </w:tc>
      </w:tr>
      <w:tr>
        <w:tblPrEx>
          <w:tblLayout w:type="fixed"/>
          <w:tblCellMar>
            <w:top w:w="0" w:type="dxa"/>
            <w:left w:w="0" w:type="dxa"/>
            <w:bottom w:w="0" w:type="dxa"/>
            <w:right w:w="0" w:type="dxa"/>
          </w:tblCellMar>
        </w:tblPrEx>
        <w:trPr>
          <w:trHeight w:val="57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大堂内无垃圾堆放，无杂物；烟灰缸内烟头、烟灰及时清理，米石干净。</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通用标准：随机抽查5个大堂，无垃圾堆放，无杂物。</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有1项为不合格；合格得3分。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1.5</w:t>
            </w:r>
          </w:p>
        </w:tc>
      </w:tr>
      <w:tr>
        <w:tblPrEx>
          <w:tblLayout w:type="fixed"/>
          <w:tblCellMar>
            <w:top w:w="0" w:type="dxa"/>
            <w:left w:w="0" w:type="dxa"/>
            <w:bottom w:w="0" w:type="dxa"/>
            <w:right w:w="0" w:type="dxa"/>
          </w:tblCellMar>
        </w:tblPrEx>
        <w:trPr>
          <w:trHeight w:val="67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大堂地面无污渍、烟头、水渍、纸屑等，每日清洁至少1次，每日巡视保洁2次；高端标准每日巡视保洁3次。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随机抽查5个大堂，地面无污渍、烟头、水渍等。</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大堂内附属设施表面无灰尘、污迹，每日擦拭。</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随机抽查5个大堂，附属设施表面无灰尘、污迹。</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8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电梯门、面板表面无污迹、灰尘，每日清洁，每季度抛光保养。</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1、随机抽查5部电梯，电梯门、面板表面无污迹、灰尘；2、查看保洁工作计划和记录电梯门、面板是否每季度抛光保养。</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电梯轿厢内地面、箱壁每日清洁，每季度上不锈钢光亮剂保养1次；电梯内画框、扶手表面无污迹、胶印，每日擦拭.</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随机抽查5部电梯，电梯轿厢内地面、箱壁、画框、扶手表面无污迹、胶印。</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有1项为不合格；合格得3分。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1.5</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电梯顶棚协助电梯维保单位半年清洁1次。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随机抽查5部电梯，电梯顶棚无积尘、蛛网。</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半年度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电梯沟槽无泥沙堆积，每周清洁1次；高端标准每日清洁1次。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随机抽查5部电梯，电梯沟槽无泥沙堆积。</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周</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电梯厅地面无水迹、污迹、纸屑、烟头、垃圾等，每日拖洗1次，每日清扫1次。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随机抽查5个单元，电梯厅地面无水迹、污迹、纸屑、烟头、垃圾等。</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8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电梯厅3米以下墙面无污迹、积尘、蛛网、乱贴乱画，每月清洁1次。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1、随机抽查5个单元，电梯厅3米以下墙面无污迹、积尘、蛛网、乱贴乱画；2、查看保洁工作计划和记录是否每月清洁。</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月度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灭火器箱无积尘、污迹，表面每日清洁。</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随机抽查5个单元，灭火器箱无积尘、污迹。</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8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消防楼梯无明显垃圾堆放、无水迹，每日清扫，水泥地面每月湿拖1次，瓷砖地面每周湿拖1次。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1、随机抽查5个单元，消防楼梯无明显垃圾堆放、无水迹；2、查看保洁工作计划及记录消防楼梯的清洁频次。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周</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消防楼道扶手无污迹、无明显积尘，每周擦拭1次；高端标准每周擦拭2次，铁花每半月擦拭1次。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1、随机抽查5个单元，消防楼道扶手无污迹、无明显积尘；2、查看保洁工作计划及记录消防楼道扶手、铁花的清洁频次。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周</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消防通道墙面无乱贴乱画。</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随机抽查5个单元，消防通道墙面，无乱贴乱画。</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69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天台、平台每月清洁1次，无垃圾杂物、无积水，排水口无堵塞；雨季期每月清洁</w:t>
            </w:r>
            <w:r>
              <w:rPr>
                <w:rStyle w:val="76"/>
                <w:color w:val="auto"/>
                <w:highlight w:val="none"/>
                <w:lang w:bidi="ar"/>
              </w:rPr>
              <w:t>2</w:t>
            </w:r>
            <w:r>
              <w:rPr>
                <w:rStyle w:val="136"/>
                <w:rFonts w:hint="default"/>
                <w:color w:val="auto"/>
                <w:highlight w:val="none"/>
                <w:lang w:bidi="ar"/>
              </w:rPr>
              <w:t>次，表面无垃圾杂物、青苔，排水口无堵塞。</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1、随机抽查5个单元天台，无垃圾杂物、无积水，排水口无堵塞；2、查看保洁工作计划及记录天台、平台的清洁频次。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月度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8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两米以下玻璃门、窗、幕墙无污迹、无积尘、无手印，每周清洁1次。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随机抽查5个单元，两米以下玻璃门、窗、幕墙无污迹、无积尘、无手印。</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周</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501"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楼道内无卫生死角；高端标准要求楼道内无成片成堆的垃圾超过24小时未处理。</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通用标准：随机抽查5个单元，楼道内无卫生死角。</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两米以上玻璃、采光窗、石材墙壁无积尘、无污迹、无手印，每月清洁</w:t>
            </w:r>
            <w:r>
              <w:rPr>
                <w:rStyle w:val="76"/>
                <w:color w:val="auto"/>
                <w:highlight w:val="none"/>
                <w:lang w:bidi="ar"/>
              </w:rPr>
              <w:t>1</w:t>
            </w:r>
            <w:r>
              <w:rPr>
                <w:rStyle w:val="136"/>
                <w:rFonts w:hint="default"/>
                <w:color w:val="auto"/>
                <w:highlight w:val="none"/>
                <w:lang w:bidi="ar"/>
              </w:rPr>
              <w:t>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1、随机抽查5个单元，两米以上玻璃、采光窗、石材墙壁无积尘、无污迹、无手印。2、查看保洁工作计划及记录清洁频次。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月度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天花及筒灯无蛛网、无虫尸、无卫生死角，每月清洁1次。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1、随机抽查5个单元，天花及筒灯无蛛网、无虫尸、无卫生死角；2、查看保洁工作计划及记录清洁频次。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电梯厅踢脚线无污迹、积尘，每月清洁1次。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1、随机抽查5个单元，电梯厅踢脚线无污迹、积尘；2、查看保洁工作计划及记录清洁频次。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月度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240"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办公区域每日作业流程</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办公室内空气清新，无异味。</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感受办公区域空气，清新、无异味。</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办公桌椅、复印机、电话机等设施设备表面无污迹、无积尘，每日清洁。</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查看办公桌椅、复印机、电话机，无污迹、无积尘。</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各类办公电器无污迹、积尘，每日擦拭1次，电脑、电话每周消毒1次。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1、查看各类办公电器，无污迹、无积尘；2、查看消杀毒工作记录消毒的频次。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8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办公区域地面无污迹、纸屑、烟头等，每日拖洗1次，每日巡视清洁2次。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 xml:space="preserve">查看办公区域地面，无污迹、纸屑、烟头。 </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办公区域玻璃门窗无手印、污迹、胶印等，每日擦拭1次。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查看办公区域玻璃门窗，无手印、污迹、胶印。</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办公区域各类标识牌无污迹、积尘，2米以下每日清洁，2米以上每周清洁。</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查看办公区域各类标识牌，无污迹、积尘。</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周</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花盆内无烟头、垃圾杂物等，花盆边缘及表面无积尘、污迹，每日擦拭1次。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查看办公区域内花盆，无烟头、垃圾杂物等。</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30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植物叶片表面无积尘、污迹，每日擦拭1次。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查看办公区域内租摆植物，叶片表面无积尘、污迹。</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9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垃圾桶内垃圾不超过2/3，桶内外壁无水迹、污迹、无异味。</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查看办公区域垃圾桶，垃圾不超过2/3，桶内外壁无水迹、污迹、无异味。</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320"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公共卫生间每日作业流程</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卫生间空气清新、无异味。</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感受卫生间空气，清新、无异味。</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1.5</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卫生间应使用区别于其他区域的专用工具，并进行标识。</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查看清洁工具是否贴有专用标识。</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卫生间地面无污迹、烟头、纸屑等垃圾，每日清洁1次，每2小时清洁1次。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查看卫生间地面，无污迹、烟头、纸屑等。</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卫生间垃圾日产日清，桶内垃圾量不超过2/3。</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查看卫生间垃圾桶，垃圾日产日清，桶内垃圾量不超过2/3。</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3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洗手池、台面及附属设施干净无污迹、灰迹，每日擦拭1次。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查看卫生间洗手池、台面及附属设施，干净无污迹、灰迹。</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7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天花、墙角、灯具、排气扇等目视无灰尘、蛛网，每周清洁1次。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kern w:val="0"/>
                <w:sz w:val="20"/>
                <w:szCs w:val="20"/>
                <w:highlight w:val="none"/>
                <w:lang w:eastAsia="zh-CN" w:bidi="ar"/>
              </w:rPr>
            </w:pPr>
            <w:r>
              <w:rPr>
                <w:rFonts w:hint="eastAsia" w:ascii="宋体" w:hAnsi="宋体" w:cs="宋体"/>
                <w:color w:val="auto"/>
                <w:kern w:val="0"/>
                <w:sz w:val="20"/>
                <w:szCs w:val="20"/>
                <w:highlight w:val="none"/>
                <w:lang w:bidi="ar"/>
              </w:rPr>
              <w:t>1、卫生间天花、墙角、灯具、排气扇等，目视无灰尘、蛛网；</w:t>
            </w:r>
          </w:p>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2、查看清洁工作计划及记录清洁频次。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周</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便池干净无污垢。</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查看便池，干净无污垢。</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卫生间清洁时应在门口摆放“工作进行中”的提示牌。</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查看是否有提示牌，询问</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清扫时应放置什么提示牌。</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地下车库每日作业流程</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地下车库单元门口地面无污迹、无垃圾、无杂物等，每日清扫1次。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查看地下车库单元门口，地面无污迹、无垃圾、无杂物等。</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地下车库单元门之间地面无可视白色垃圾，每日清理1次。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查看地下车库单元门之间地面，无可视白色垃圾。</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坡道地面无垃圾、杂物、积水等，不产生扬尘，每日清扫1次。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查看地下车库坡道地面，无垃圾、杂物、积水等，不产生扬尘。</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每2月冲洗1次或彻底清洁1次地面；高端标准每月冲洗1次或彻底清洁1次地面。</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查看保洁工作计划及记录地下车库冲洗频次。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月度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垃圾桶周围无垃圾外溢、无杂物，每日清收1次。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查看地下车库垃圾桶，周围无垃圾外溢、无杂物。</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车库地面无可视白色垃圾、无积水等，不产生扬尘，减速带上无积尘、无污迹等。</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查看地下车库地面、减速带，无可视白色垃圾、无积水、无积尘、无污迹等。</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有1项为不合格；合格得3分。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1.5</w:t>
            </w:r>
          </w:p>
        </w:tc>
      </w:tr>
      <w:tr>
        <w:tblPrEx>
          <w:tblLayout w:type="fixed"/>
          <w:tblCellMar>
            <w:top w:w="0" w:type="dxa"/>
            <w:left w:w="0" w:type="dxa"/>
            <w:bottom w:w="0" w:type="dxa"/>
            <w:right w:w="0" w:type="dxa"/>
          </w:tblCellMar>
        </w:tblPrEx>
        <w:trPr>
          <w:trHeight w:val="67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消防设施、附属设施（凸镜、标识、灯罩、监控探头等）无明显积尘、蛛网，每月清洁1次；管道无明显积尘、蛛网，每半年清洁1次。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1、消防设施、附属设施等，无明显积尘、蛛网；2、查看工作计划及记录的清洁频次。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半年度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644"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垃圾清运每日作业流程</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清洁工具整洁、干净；垃圾车表面干净、无明显异味、有统一的垃圾车标识。</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通用标准：现场查看垃圾清运工具、垃圾车，干净整洁，垃圾车表面干净有统一的标识。</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垃圾车箱体完好，垃圾清运过程中不能漏垃圾水；垃圾车行驶速度不超过20KM/小时。</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现场查看垃圾车，箱体完好，清运过程中不能漏垃圾水，行驶速度不超过20 KM/小时。</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72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垃圾桶地面无垃圾、杂物、污迹，每日清扫垃圾桶地面，生活垃圾收集需避开电梯使用高峰期；垃圾桶底部无垃圾、杂物等。</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spacing w:after="200"/>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现场查看垃圾桶地面、表面、底部，无垃圾、杂物、污迹等。</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垃圾清运均实现袋装化清运，收倒过程不干扰业主正常工作、生活，每日清收2次。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现场查看垃圾清运的情况，询问</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垃圾桶清运过程中的注意事项。</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垃圾中转站物品分类摆放，避免乱堆乱放，保持中转站外整洁。</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查看垃圾房物品摆放，保持垃圾房干净整洁。</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67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垃圾桶巡视清洁需明确各时间段（7:30-20:30）有专人负责；每1小时对总坪垃圾桶进行全覆盖巡视清洁一次，能及时发现垃圾桶满及外溢并进行处理。</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kern w:val="0"/>
                <w:sz w:val="20"/>
                <w:szCs w:val="20"/>
                <w:highlight w:val="none"/>
                <w:lang w:eastAsia="zh-CN" w:bidi="ar"/>
              </w:rPr>
            </w:pPr>
            <w:r>
              <w:rPr>
                <w:rFonts w:hint="eastAsia" w:ascii="宋体" w:hAnsi="宋体" w:cs="宋体"/>
                <w:color w:val="auto"/>
                <w:kern w:val="0"/>
                <w:sz w:val="20"/>
                <w:szCs w:val="20"/>
                <w:highlight w:val="none"/>
                <w:lang w:bidi="ar"/>
              </w:rPr>
              <w:t>1、询问项目垃圾清运各时间段责任人的安排；</w:t>
            </w:r>
          </w:p>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2、查看总坪垃圾桶满及外溢有无在1小时内清理。</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5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垃圾房地面无垃圾、污迹等，每日对垃圾房地面及垃圾车冲洗1次，并进行1次消杀。</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kern w:val="0"/>
                <w:sz w:val="20"/>
                <w:szCs w:val="20"/>
                <w:highlight w:val="none"/>
                <w:lang w:eastAsia="zh-CN" w:bidi="ar"/>
              </w:rPr>
            </w:pPr>
            <w:r>
              <w:rPr>
                <w:rFonts w:hint="eastAsia" w:ascii="宋体" w:hAnsi="宋体" w:cs="宋体"/>
                <w:color w:val="auto"/>
                <w:kern w:val="0"/>
                <w:sz w:val="20"/>
                <w:szCs w:val="20"/>
                <w:highlight w:val="none"/>
                <w:lang w:bidi="ar"/>
              </w:rPr>
              <w:t>1、查看垃圾房地面，无垃圾散落、无污迹等；</w:t>
            </w:r>
          </w:p>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2、查看垃圾房消杀记录。</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垃圾房内无明显异味、无普遍性蚊蝇飞舞。</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查看垃圾房，无明显异味，无普遍性蚊蝇飞舞。</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垃圾车停靠在路边或不阻挡业主行走的区域。</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查看垃圾清运过程中，垃圾车停放的位置不影响业主通行。</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67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项目环境负责人根据项目的管理阶段、业主入住率等综合评估，合理配制垃圾桶数量、位置，垃圾桶损坏及时进行维修或更换。</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查看项目垃圾桶配制数量、位置是否合理，垃圾桶损坏及时进行维修或更换。</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80" w:hRule="atLeast"/>
          <w:jc w:val="center"/>
        </w:trPr>
        <w:tc>
          <w:tcPr>
            <w:tcW w:w="103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消杀计划</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每年</w:t>
            </w:r>
            <w:r>
              <w:rPr>
                <w:rStyle w:val="76"/>
                <w:color w:val="auto"/>
                <w:highlight w:val="none"/>
                <w:lang w:bidi="ar"/>
              </w:rPr>
              <w:t>12</w:t>
            </w:r>
            <w:r>
              <w:rPr>
                <w:rStyle w:val="136"/>
                <w:rFonts w:hint="default"/>
                <w:color w:val="auto"/>
                <w:highlight w:val="none"/>
                <w:lang w:bidi="ar"/>
              </w:rPr>
              <w:t>月份制定来年年度消杀计划，并分解到月，计划内容包含四害消杀、白蚁防治、公共消毒。</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查看年度消杀计划及月度消杀计划安排的具体内容。</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月度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240"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蚊蝇蟑螂消杀作业流程</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消杀药品应为高效低毒，不得使用国家禁止的药物。</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查看库房消杀毒药品，符合国家规定。</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安全生产</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6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消杀前</w:t>
            </w:r>
            <w:r>
              <w:rPr>
                <w:rStyle w:val="76"/>
                <w:color w:val="auto"/>
                <w:highlight w:val="none"/>
                <w:lang w:bidi="ar"/>
              </w:rPr>
              <w:t>3</w:t>
            </w:r>
            <w:r>
              <w:rPr>
                <w:rStyle w:val="136"/>
                <w:rFonts w:hint="default"/>
                <w:color w:val="auto"/>
                <w:highlight w:val="none"/>
                <w:lang w:bidi="ar"/>
              </w:rPr>
              <w:t>天在园区公告栏、楼道公告栏处张贴温馨提示或发布短信提示业主。</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查看消杀通知和记录的时间，消杀前3天出通知。</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安全生产</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药品领取后应有完整的记录。</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查看药品进出库记录表。</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消杀区域应摆放好“消杀进行中”“前方消杀，请绕行”等警示牌或拉上警示带。</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1、查看消杀作业时，摆放警示标识的情况；2、询问</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消杀的安全注意事项。</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安全生产</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严格按照说明书上表明的浓度进行配置，配置地点选操作间进行。</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查看消杀工作记录表，药品浓度严格按说明书比例操作。</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垃圾桶、垃圾房等处无普遍性的蚊蝇飞舞；下水井无明显蟑螂活动。</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查看垃圾桶、垃圾房，无普遍性的蚊蝇飞舞；下水井无明显蟑螂活动。</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8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夏季灭蚊、灭蝇每月不少于</w:t>
            </w:r>
            <w:r>
              <w:rPr>
                <w:rStyle w:val="76"/>
                <w:color w:val="auto"/>
                <w:highlight w:val="none"/>
                <w:lang w:bidi="ar"/>
              </w:rPr>
              <w:t>4</w:t>
            </w:r>
            <w:r>
              <w:rPr>
                <w:rStyle w:val="136"/>
                <w:rFonts w:hint="default"/>
                <w:color w:val="auto"/>
                <w:highlight w:val="none"/>
                <w:lang w:bidi="ar"/>
              </w:rPr>
              <w:t>次，灭蟑螂每月不少于</w:t>
            </w:r>
            <w:r>
              <w:rPr>
                <w:rStyle w:val="76"/>
                <w:color w:val="auto"/>
                <w:highlight w:val="none"/>
                <w:lang w:bidi="ar"/>
              </w:rPr>
              <w:t>2</w:t>
            </w:r>
            <w:r>
              <w:rPr>
                <w:rStyle w:val="136"/>
                <w:rFonts w:hint="default"/>
                <w:color w:val="auto"/>
                <w:highlight w:val="none"/>
                <w:lang w:bidi="ar"/>
              </w:rPr>
              <w:t>次；冬季灭蚊、灭蝇、灭蟑螂每月不少于</w:t>
            </w:r>
            <w:r>
              <w:rPr>
                <w:rStyle w:val="76"/>
                <w:color w:val="auto"/>
                <w:highlight w:val="none"/>
                <w:lang w:bidi="ar"/>
              </w:rPr>
              <w:t>2</w:t>
            </w:r>
            <w:r>
              <w:rPr>
                <w:rStyle w:val="136"/>
                <w:rFonts w:hint="default"/>
                <w:color w:val="auto"/>
                <w:highlight w:val="none"/>
                <w:lang w:bidi="ar"/>
              </w:rPr>
              <w:t>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查看消杀记录，灭蚊、蝇、蟑螂的频次是否符合。</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现场品质</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月度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6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每年通过展板、讲座等形式，开展</w:t>
            </w:r>
            <w:r>
              <w:rPr>
                <w:rStyle w:val="76"/>
                <w:color w:val="auto"/>
                <w:highlight w:val="none"/>
                <w:lang w:bidi="ar"/>
              </w:rPr>
              <w:t>2</w:t>
            </w:r>
            <w:r>
              <w:rPr>
                <w:rStyle w:val="136"/>
                <w:rFonts w:hint="default"/>
                <w:color w:val="auto"/>
                <w:highlight w:val="none"/>
                <w:lang w:bidi="ar"/>
              </w:rPr>
              <w:t>次四害防治宣传，引导客户共同做好室内、庭院等部位的消杀。</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查看四害防治宣传记录。</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年度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5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未用完的药品和已用完的药品袋，空药玻璃瓶、园区警示牌、消杀器具等交还到库房。</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eastAsia="宋体" w:cs="宋体"/>
                <w:color w:val="auto"/>
                <w:kern w:val="0"/>
                <w:sz w:val="20"/>
                <w:szCs w:val="20"/>
                <w:highlight w:val="none"/>
                <w:lang w:eastAsia="zh-CN" w:bidi="ar"/>
              </w:rPr>
            </w:pPr>
            <w:r>
              <w:rPr>
                <w:rFonts w:hint="eastAsia" w:ascii="宋体" w:hAnsi="宋体" w:cs="宋体"/>
                <w:color w:val="auto"/>
                <w:kern w:val="0"/>
                <w:sz w:val="20"/>
                <w:szCs w:val="20"/>
                <w:highlight w:val="none"/>
                <w:lang w:bidi="ar"/>
              </w:rPr>
              <w:t>1、查看废弃物回收处理记录；</w:t>
            </w:r>
          </w:p>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2、询问</w:t>
            </w:r>
            <w:r>
              <w:rPr>
                <w:rFonts w:hint="eastAsia" w:ascii="宋体" w:hAnsi="宋体" w:cs="宋体"/>
                <w:color w:val="auto"/>
                <w:kern w:val="0"/>
                <w:sz w:val="20"/>
                <w:szCs w:val="20"/>
                <w:highlight w:val="none"/>
                <w:lang w:eastAsia="zh-CN" w:bidi="ar"/>
              </w:rPr>
              <w:t>服务人员</w:t>
            </w:r>
            <w:r>
              <w:rPr>
                <w:rFonts w:hint="eastAsia" w:ascii="宋体" w:hAnsi="宋体" w:cs="宋体"/>
                <w:color w:val="auto"/>
                <w:kern w:val="0"/>
                <w:sz w:val="20"/>
                <w:szCs w:val="20"/>
                <w:highlight w:val="none"/>
                <w:lang w:bidi="ar"/>
              </w:rPr>
              <w:t>药品袋、空瓶等的处理方法。</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安全生产</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6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消杀完成</w:t>
            </w:r>
            <w:r>
              <w:rPr>
                <w:rStyle w:val="76"/>
                <w:color w:val="auto"/>
                <w:highlight w:val="none"/>
                <w:lang w:bidi="ar"/>
              </w:rPr>
              <w:t>3-5</w:t>
            </w:r>
            <w:r>
              <w:rPr>
                <w:rStyle w:val="136"/>
                <w:rFonts w:hint="default"/>
                <w:color w:val="auto"/>
                <w:highlight w:val="none"/>
                <w:lang w:bidi="ar"/>
              </w:rPr>
              <w:t>天后对园区消杀情况进行评估总结；填写《消杀工作记录表》。</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查看消杀工作记录表</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65"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灭鼠消杀作业流程</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提前</w:t>
            </w:r>
            <w:r>
              <w:rPr>
                <w:rStyle w:val="76"/>
                <w:color w:val="auto"/>
                <w:highlight w:val="none"/>
                <w:lang w:bidi="ar"/>
              </w:rPr>
              <w:t>15</w:t>
            </w:r>
            <w:r>
              <w:rPr>
                <w:rStyle w:val="136"/>
                <w:rFonts w:hint="default"/>
                <w:color w:val="auto"/>
                <w:highlight w:val="none"/>
                <w:lang w:bidi="ar"/>
              </w:rPr>
              <w:t>日制作灭鼠计划方案，方案内容清晰，具有可操作性；有消杀通告或者短信等提示内容。</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查看灭鼠方案内容及消杀的通知。</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灭鼠标识醒目、数量满足现场需求；有安全提示和中毒处理措施。</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查看消杀现场是否有警示标示，是否有安全提示和应急预案，应急预案是否可行。</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安全生产</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67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灭鼠消杀每年进行春节和秋季委托专项公司进行消杀，或根据客户的要求进行自行消杀</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查看每年是否有安排不低于2次的灭鼠消杀。</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67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按楼栋分布编制毒饵站、药物及投放位置清单；标识张贴位置规范醒目；露天及主干道采用鼠药盒投放，办公区采用粘鼠板或捕鼠夹，白天收起。</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查看鼠饵盒的标识，规范醒目，露天及主干道采用鼠药盒投放，办公区采用粘鼠板或捕鼠夹，白天收起。</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安全生产</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675"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灭鼠消杀结束后，收集所有残留药物、死鼠和有害固体废弃物交主管人员集中妥善保管，并督导外包单位及时清理交由有资质的回收机构进行回收处理。</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查看灭鼠相关类危险废弃物是否按要求收集处理。</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安全生产</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白蚁防治</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每年对房屋共用部位、共用设施设备进行白蚁防治知识的宣传和专项检查至少1次，并留存记录。</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查看宣传记录、检查记录。</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发现白蚁上报白蚁防治中心进行白蚁消杀；有上报记录；有消杀记录及照片；公共区域无白蚁害。</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查看公共区域，无白蚁害。</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公共消毒作业流程</w:t>
            </w: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单元门把手、按键、电梯轿厢、儿童游乐设施消毒每周消毒至少1次；</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1、查看消毒记录；2、询问保洁人员哪些区域需要消毒，多久消毒1次。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有1项为不合格；合格得1分。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周</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lang w:val="en-US"/>
              </w:rPr>
            </w:pPr>
            <w:r>
              <w:rPr>
                <w:rFonts w:hint="eastAsia" w:asciiTheme="minorEastAsia" w:hAnsiTheme="minorEastAsia" w:eastAsiaTheme="minorEastAsia" w:cstheme="minorEastAsia"/>
                <w:color w:val="auto"/>
                <w:kern w:val="0"/>
                <w:sz w:val="18"/>
                <w:szCs w:val="18"/>
                <w:highlight w:val="none"/>
                <w:lang w:val="en-US" w:eastAsia="zh-CN" w:bidi="ar"/>
              </w:rPr>
              <w:t>0.5</w:t>
            </w:r>
          </w:p>
        </w:tc>
      </w:tr>
      <w:tr>
        <w:tblPrEx>
          <w:tblLayout w:type="fixed"/>
          <w:tblCellMar>
            <w:top w:w="0" w:type="dxa"/>
            <w:left w:w="0" w:type="dxa"/>
            <w:bottom w:w="0" w:type="dxa"/>
            <w:right w:w="0" w:type="dxa"/>
          </w:tblCellMar>
        </w:tblPrEx>
        <w:trPr>
          <w:trHeight w:val="45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消杀操作人员消杀时务必做好个人防护措施：手套、口罩、防护衣服等。</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1、查看消杀操作人员的个人防护；2、询问</w:t>
            </w:r>
            <w:r>
              <w:rPr>
                <w:rFonts w:hint="eastAsia" w:ascii="宋体" w:hAnsi="宋体" w:cs="宋体"/>
                <w:color w:val="auto"/>
                <w:kern w:val="0"/>
                <w:sz w:val="18"/>
                <w:szCs w:val="18"/>
                <w:highlight w:val="none"/>
                <w:lang w:eastAsia="zh-CN" w:bidi="ar"/>
              </w:rPr>
              <w:t>服务人员</w:t>
            </w:r>
            <w:r>
              <w:rPr>
                <w:rFonts w:hint="eastAsia" w:ascii="宋体" w:hAnsi="宋体" w:cs="宋体"/>
                <w:color w:val="auto"/>
                <w:kern w:val="0"/>
                <w:sz w:val="18"/>
                <w:szCs w:val="18"/>
                <w:highlight w:val="none"/>
                <w:lang w:bidi="ar"/>
              </w:rPr>
              <w:t>需要做好哪些防护措施。</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安全生产</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日</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消杀药品至少每季度更换一次，避免产生抗药性。</w:t>
            </w:r>
          </w:p>
        </w:tc>
        <w:tc>
          <w:tcPr>
            <w:tcW w:w="477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查看记录表消杀药品的更换频次。</w:t>
            </w:r>
          </w:p>
        </w:tc>
        <w:tc>
          <w:tcPr>
            <w:tcW w:w="26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left"/>
              <w:textAlignment w:val="center"/>
              <w:rPr>
                <w:rFonts w:hint="eastAsia" w:ascii="宋体" w:hAnsi="宋体" w:cs="宋体"/>
                <w:color w:val="auto"/>
                <w:sz w:val="18"/>
                <w:szCs w:val="18"/>
                <w:highlight w:val="none"/>
              </w:rPr>
            </w:pPr>
            <w:r>
              <w:rPr>
                <w:rFonts w:hint="eastAsia" w:ascii="宋体" w:hAnsi="宋体" w:cs="宋体"/>
                <w:color w:val="auto"/>
                <w:kern w:val="0"/>
                <w:sz w:val="18"/>
                <w:szCs w:val="18"/>
                <w:highlight w:val="none"/>
                <w:lang w:bidi="ar"/>
              </w:rPr>
              <w:t>有1项为不合格；合格得2分。</w:t>
            </w: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内控要求</w:t>
            </w: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季度</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val="en-US" w:eastAsia="zh-CN" w:bidi="ar"/>
              </w:rPr>
              <w:t>1</w:t>
            </w:r>
          </w:p>
        </w:tc>
      </w:tr>
      <w:tr>
        <w:tblPrEx>
          <w:tblLayout w:type="fixed"/>
          <w:tblCellMar>
            <w:top w:w="0" w:type="dxa"/>
            <w:left w:w="0" w:type="dxa"/>
            <w:bottom w:w="0" w:type="dxa"/>
            <w:right w:w="0" w:type="dxa"/>
          </w:tblCellMar>
        </w:tblPrEx>
        <w:trPr>
          <w:trHeight w:val="240" w:hRule="atLeast"/>
          <w:jc w:val="center"/>
        </w:trPr>
        <w:tc>
          <w:tcPr>
            <w:tcW w:w="1035"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加分项</w:t>
            </w:r>
          </w:p>
        </w:tc>
        <w:tc>
          <w:tcPr>
            <w:tcW w:w="53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工作得到客户肯定，获得口头表扬、赞美</w:t>
            </w:r>
          </w:p>
        </w:tc>
        <w:tc>
          <w:tcPr>
            <w:tcW w:w="47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26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bidi="ar"/>
              </w:rPr>
              <w:t>2</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cs="宋体"/>
                <w:color w:val="auto"/>
                <w:sz w:val="20"/>
                <w:szCs w:val="20"/>
                <w:highlight w:val="none"/>
              </w:rPr>
            </w:pPr>
            <w:r>
              <w:rPr>
                <w:rFonts w:hint="eastAsia" w:ascii="宋体" w:hAnsi="宋体" w:cs="宋体"/>
                <w:color w:val="auto"/>
                <w:kern w:val="0"/>
                <w:sz w:val="20"/>
                <w:szCs w:val="20"/>
                <w:highlight w:val="none"/>
                <w:lang w:bidi="ar"/>
              </w:rPr>
              <w:t>工作得到客户肯定，获得文字或者锦旗表扬、赞美</w:t>
            </w:r>
          </w:p>
        </w:tc>
        <w:tc>
          <w:tcPr>
            <w:tcW w:w="47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26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sz w:val="18"/>
                <w:szCs w:val="18"/>
                <w:highlight w:val="none"/>
              </w:rPr>
            </w:pPr>
            <w:r>
              <w:rPr>
                <w:rFonts w:hint="eastAsia" w:asciiTheme="minorEastAsia" w:hAnsiTheme="minorEastAsia" w:eastAsiaTheme="minorEastAsia" w:cstheme="minorEastAsia"/>
                <w:color w:val="auto"/>
                <w:kern w:val="0"/>
                <w:sz w:val="18"/>
                <w:szCs w:val="18"/>
                <w:highlight w:val="none"/>
                <w:lang w:bidi="ar"/>
              </w:rPr>
              <w:t>5</w:t>
            </w:r>
          </w:p>
        </w:tc>
      </w:tr>
      <w:tr>
        <w:tblPrEx>
          <w:tblLayout w:type="fixed"/>
          <w:tblCellMar>
            <w:top w:w="0" w:type="dxa"/>
            <w:left w:w="0" w:type="dxa"/>
            <w:bottom w:w="0" w:type="dxa"/>
            <w:right w:w="0" w:type="dxa"/>
          </w:tblCellMar>
        </w:tblPrEx>
        <w:trPr>
          <w:trHeight w:val="240" w:hRule="atLeast"/>
          <w:jc w:val="center"/>
        </w:trPr>
        <w:tc>
          <w:tcPr>
            <w:tcW w:w="1035"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auto"/>
                <w:sz w:val="20"/>
                <w:szCs w:val="20"/>
                <w:highlight w:val="none"/>
              </w:rPr>
            </w:pPr>
            <w:r>
              <w:rPr>
                <w:rFonts w:hint="eastAsia" w:ascii="宋体" w:hAnsi="宋体" w:cs="宋体"/>
                <w:color w:val="auto"/>
                <w:sz w:val="20"/>
                <w:szCs w:val="20"/>
                <w:highlight w:val="none"/>
              </w:rPr>
              <w:t>减分项</w:t>
            </w:r>
          </w:p>
        </w:tc>
        <w:tc>
          <w:tcPr>
            <w:tcW w:w="53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cs="宋体"/>
                <w:color w:val="auto"/>
                <w:kern w:val="0"/>
                <w:sz w:val="20"/>
                <w:szCs w:val="20"/>
                <w:highlight w:val="none"/>
                <w:lang w:bidi="ar"/>
              </w:rPr>
            </w:pPr>
            <w:r>
              <w:rPr>
                <w:rFonts w:hint="eastAsia" w:ascii="宋体" w:hAnsi="宋体" w:cs="宋体"/>
                <w:color w:val="auto"/>
                <w:kern w:val="0"/>
                <w:sz w:val="20"/>
                <w:szCs w:val="20"/>
                <w:highlight w:val="none"/>
                <w:lang w:bidi="ar"/>
              </w:rPr>
              <w:t>工作被业主投诉</w:t>
            </w:r>
          </w:p>
        </w:tc>
        <w:tc>
          <w:tcPr>
            <w:tcW w:w="47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26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kern w:val="0"/>
                <w:sz w:val="18"/>
                <w:szCs w:val="18"/>
                <w:highlight w:val="none"/>
                <w:lang w:bidi="ar"/>
              </w:rPr>
            </w:pPr>
            <w:r>
              <w:rPr>
                <w:rFonts w:hint="eastAsia" w:asciiTheme="minorEastAsia" w:hAnsiTheme="minorEastAsia" w:eastAsiaTheme="minorEastAsia" w:cstheme="minorEastAsia"/>
                <w:color w:val="auto"/>
                <w:kern w:val="0"/>
                <w:sz w:val="18"/>
                <w:szCs w:val="18"/>
                <w:highlight w:val="none"/>
                <w:lang w:bidi="ar"/>
              </w:rPr>
              <w:t>-2</w:t>
            </w:r>
          </w:p>
        </w:tc>
      </w:tr>
      <w:tr>
        <w:tblPrEx>
          <w:tblLayout w:type="fixed"/>
          <w:tblCellMar>
            <w:top w:w="0" w:type="dxa"/>
            <w:left w:w="0" w:type="dxa"/>
            <w:bottom w:w="0" w:type="dxa"/>
            <w:right w:w="0" w:type="dxa"/>
          </w:tblCellMar>
        </w:tblPrEx>
        <w:trPr>
          <w:trHeight w:val="240" w:hRule="atLeast"/>
          <w:jc w:val="center"/>
        </w:trPr>
        <w:tc>
          <w:tcPr>
            <w:tcW w:w="1035" w:type="dxa"/>
            <w:vMerge w:val="continue"/>
            <w:tcBorders>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cs="宋体"/>
                <w:color w:val="auto"/>
                <w:sz w:val="20"/>
                <w:szCs w:val="20"/>
                <w:highlight w:val="none"/>
              </w:rPr>
            </w:pPr>
          </w:p>
        </w:tc>
        <w:tc>
          <w:tcPr>
            <w:tcW w:w="53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ascii="宋体" w:hAnsi="宋体" w:cs="宋体"/>
                <w:color w:val="auto"/>
                <w:kern w:val="0"/>
                <w:sz w:val="20"/>
                <w:szCs w:val="20"/>
                <w:highlight w:val="none"/>
                <w:lang w:bidi="ar"/>
              </w:rPr>
            </w:pPr>
            <w:r>
              <w:rPr>
                <w:rFonts w:hint="eastAsia" w:ascii="宋体" w:hAnsi="宋体" w:cs="宋体"/>
                <w:color w:val="auto"/>
                <w:kern w:val="0"/>
                <w:sz w:val="20"/>
                <w:szCs w:val="20"/>
                <w:highlight w:val="none"/>
                <w:lang w:bidi="ar"/>
              </w:rPr>
              <w:t>工作被业主投诉造成不良影响</w:t>
            </w:r>
          </w:p>
        </w:tc>
        <w:tc>
          <w:tcPr>
            <w:tcW w:w="477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26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85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73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cs="宋体"/>
                <w:color w:val="auto"/>
                <w:sz w:val="20"/>
                <w:szCs w:val="20"/>
                <w:highlight w:val="none"/>
              </w:rPr>
            </w:pP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auto"/>
                <w:kern w:val="0"/>
                <w:sz w:val="18"/>
                <w:szCs w:val="18"/>
                <w:highlight w:val="none"/>
                <w:lang w:bidi="ar"/>
              </w:rPr>
            </w:pPr>
            <w:r>
              <w:rPr>
                <w:rFonts w:hint="eastAsia" w:asciiTheme="minorEastAsia" w:hAnsiTheme="minorEastAsia" w:eastAsiaTheme="minorEastAsia" w:cstheme="minorEastAsia"/>
                <w:color w:val="auto"/>
                <w:kern w:val="0"/>
                <w:sz w:val="18"/>
                <w:szCs w:val="18"/>
                <w:highlight w:val="none"/>
                <w:lang w:bidi="ar"/>
              </w:rPr>
              <w:t>-5</w:t>
            </w:r>
          </w:p>
        </w:tc>
      </w:tr>
    </w:tbl>
    <w:p>
      <w:pPr>
        <w:ind w:left="0" w:leftChars="0" w:right="105" w:firstLine="0" w:firstLineChars="0"/>
        <w:jc w:val="both"/>
        <w:rPr>
          <w:rFonts w:hint="default" w:asciiTheme="minorEastAsia" w:hAnsiTheme="minorEastAsia" w:eastAsiaTheme="minorEastAsia" w:cstheme="minorEastAsia"/>
          <w:b/>
          <w:bCs/>
          <w:color w:val="auto"/>
          <w:sz w:val="28"/>
          <w:szCs w:val="28"/>
          <w:highlight w:val="none"/>
          <w:lang w:val="en-US" w:eastAsia="zh-CN"/>
        </w:rPr>
      </w:pPr>
    </w:p>
    <w:p>
      <w:pPr>
        <w:ind w:firstLine="480"/>
        <w:jc w:val="right"/>
        <w:rPr>
          <w:rFonts w:hint="eastAsia" w:ascii="宋体" w:hAnsi="宋体" w:eastAsia="宋体" w:cs="宋体"/>
          <w:color w:val="auto"/>
          <w:sz w:val="24"/>
          <w:szCs w:val="24"/>
          <w:highlight w:val="none"/>
        </w:rPr>
      </w:pP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四川东辰（集团）股份有限公司合作廉洁协议</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一、商业交易中的行为与操守声明</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公平、公正、符合职业操守及道德规范、遵守法律法规是本公司处理一切商业交易的基本原则。以此原则为基础的廉洁、规范合作是我们与所有合作方长期合作的保障。因为本公司始终认为，坚持这一原则将使我们的员工在商业交易中保持良好的职业水准并使本公司持续赢得客户、合作方与社会的尊重，同时也有利于保证本公司与合作方的长期利益。任何违反这一原则的行为，包括但不限于任何形式的贿赂、欺诈、操纵或内部人为控制，无论是合作方还是负责交易处理的本公司员工，都是不被接受的。因此，任一与我司有合作意向或正在合作的合作方也应与我们一道共同遵守这一原则。我司与贵方的合作合同中附有《我司员工与合作方往来行为规范》和《合作方往来行为规范》，对公司员工和合作方的往来规范做出了明确要求，公司员工及合作方应认真阅读并严格遵循，并由我司对《我司员工与合作方往来行为规范》签署盖章，合作方对《合作方往来行为规范》签署盖章，如我司员工存在违反上述规范或原则之行为，合作方有及时报告之权利和义务。我司将不定期对合作方和员</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工进行往来行为规范调查。</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若您（无论您是否与本交易相关）认为本公司的任一（包括但不限于本次）商业交易存在、或可能存在上述问题，请向以下联系方式发送短信或邮件举报，并附上相关的取证联系方式：</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法务监察电话及邮箱，电话：18009092200邮箱：jiancha@dcjt.cc</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若您对此难以判断或有任何疑问，请按以上预留联系方式进行洽询，我司承诺，将对举报内容予以保密，对相关举报单位、人的隐私予以保护。</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2880" w:firstLineChars="1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公司名称（盖章）：四川东辰（集团）股份有限公司</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1920" w:firstLineChars="8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年   月   日</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二、合作方往来行为规范</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致四川东辰（集团）股份有限公司：</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我公司郑重承诺在与贵公司合作签订的《 物业保洁服务协议》的期间往来遵循下列规范：</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1、不以任何方式影响贵我双方交易的公平、公正；</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2、及时沟通解决交易过程中出现的问题；</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3、不以任何形式向贵公司员工及亲属赠送可能影响业务执行的实物、现金或礼券；（一年内单个合作方累计或单次赠送年内500元以上的视同可能影响业务执行。）</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亲属是指：配偶、（继）子女、（继）父母、（继）兄弟姐妹、配偶的父母、子女的配偶、兄弟姐妹的配子女的配偶、兄弟姐妹的配偶、配偶的兄弟姐妹，下同。</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4、不以任何形式向贵公司员工及亲属支付应由其本人承担的任何费用；</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5、不以任何形式向贵公司员工及亲属提供不适当的个人利益或便利（如:为其亲属安排工作、办理出境、入学、资产使用等）；</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6、不利用参加贵公司员工及其亲属举办的婚丧嫁娶活动输送利益，并赠送超出约定俗成的礼金数额；</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7、一般不安排贵公司员工就餐（工作餐），如必须就餐的，工作餐标准不超100元/人；</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8、除工作餐外，不邀请贵公司员工及亲属参加宴会或其他消费（旅游、娱乐等）活动；</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9、不向贵公司员工及亲属提供低于市场价格的商品或服务；</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10、不接受贵公司员工个人在合同之外指定的单位采购或工程转包；</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11、不邀请和接受贵公司员工及亲属投资入股本公司及关联公司（包括干股）；</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12、如贵公司员工有任何索取和接受利益的行为(包括但不限于第3-11项)以及由于拒绝不当要求受到威胁、刁难和报复，我方将及时通知其上级领导、直至贵公司最高领导；</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13、配合贵公司开展的相关调查活动（包括不限于接受约谈、提供相关资料和信息、如实反映相关活动等）；</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14、保证我公司所有相关员工都了解以上要求。</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（合作方在履行该规范时，若存在任何疑问，请向以下联系方式发送短信或邮件举报，并附上相关的取证联系方式：法务监察电话及邮箱，电话：18009092200，邮箱：jiancha@dcjt.cc ）。</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司承诺，我司不以任何形式向贵公司人员提供可能影响业务执行的实物、现金或任何利益；如发现我司人员有任何索取和接受利益的行为以及由于拒绝贵公司人员的不当要求而受到威胁、刁难和报复的，我司将及时通知贵公司，如未能遵守以上规范，我公司愿意接受：</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在发生任何影响贵公司与我公司合作的公开、公平、公正的情形时，接受贵公司、公安或司法部门的立案查处；</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本承诺书在我公司与贵公司合作的协议、合同或其他具有约束力的文件成立时，自动成为该文件的组成部分。</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3840" w:firstLineChars="16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合作方单位名称（公章）：</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法定代表人或授权代表签名：</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年    月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日</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三、我司员工与合作方往来行为规范</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为体现公司价值观，特要求我司员工与合作方合作期间往来时应遵循下列规范：</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1、本着有礼、有节原则与合作方开展往来活动；</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2、本着客观、公正原则对合作方进行评价和管理；</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3、积极主动沟通解决争议事项，不采取过激、压制手段；</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4、按照统一标准和原则与合作方进行沟通与谈判；</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5、不以任何方式向合作方或不相干他人泄露商业机密（包括不限于透露谈判价格、谈判策略、其他竞争方等）影响交易正常的公开、公平和公正；</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6、本人及亲属不得利用职权和职务上的影响占用合作方单位或者个人的财物；（亲属是指：配偶、（继）子女、（继）父母、（继）兄弟姐妹、配偶的父母、子女的配偶 、兄弟姐妹的配偶、配偶的兄弟姐妹，下同。）</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7、本人及亲属不以任何形式接受合作方赠送的可能影响业务执行的实物、现金或礼券；（ 1 年内单个合作方累计或单次赠送 500 元以上的视同可能影响业务执行。）</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8、一般不得要求和接受合作方安排就餐（工作餐），如必须就餐的，工作餐标准不超过 100 元/人；</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9、本人及亲属不得接受合作方的宴请以及旅游、健身、娱乐等活动安排；</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10、本人及亲属不得接受合作方提供不适当的个人利益或便利（如 为其亲属安排工作、办理出境、入学等）；</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11、本人及亲属不得投资入股合作方单位及关联公司（包括 干股）；</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12、本人及亲属不得接受合作方提供的低于市场价格的商品或服务；</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13、本人及亲属不得接受合作方代为支付应由自己承担的任何费用；</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14、本人及亲属不得邀请合作方参加婚丧嫁娶活动，并接受礼金；</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15、本人及亲属不得在合同外要求合作方进行到指定单位采购；</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16、本人不得与供应商就项目范围增减、工作量变动、计价方式改变等进行私下商谈或者达成默契；</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17、对遵循本规范的合作方，不得威胁、刁难、报复；</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18、积极配合公司开展的与合作方往来相关调查活动（包括不限于接受约谈、提供相关资料和信息、如实反映相关活动等 ）。如违反上述规范，公司将参照相关制度根据影响程度和情节轻重，分别给予行政处罚（包括口头或书面警告、通报批评、降级或降职、无条件解除劳动合同）、经济处罚、职业禁入和法律诉讼，违反法律规定并构成违法犯罪的，公司将移交公安、司法机关处理。</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（公司员工在履行该规范时，若存在任何疑问，请向以下联系方式发送短信或邮件举报，并附上相关的取证联系方式：法务监察电话及邮箱，电话：18009092200，邮箱：jiancha@dcjt.cc ）</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公司（公章）：</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5040" w:firstLineChars="2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法定代表人签名：</w:t>
      </w:r>
    </w:p>
    <w:p>
      <w:pPr>
        <w:pStyle w:val="2"/>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5520" w:firstLineChars="23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t xml:space="preserve">  月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日</w:t>
      </w:r>
    </w:p>
    <w:p>
      <w:pPr>
        <w:pStyle w:val="2"/>
        <w:tabs>
          <w:tab w:val="left" w:pos="2064"/>
          <w:tab w:val="left" w:pos="2902"/>
          <w:tab w:val="left" w:pos="3744"/>
          <w:tab w:val="left" w:pos="6126"/>
          <w:tab w:val="left" w:pos="7522"/>
          <w:tab w:val="left" w:pos="8365"/>
        </w:tabs>
        <w:autoSpaceDE w:val="0"/>
        <w:autoSpaceDN w:val="0"/>
        <w:spacing w:line="360" w:lineRule="auto"/>
        <w:ind w:right="105"/>
        <w:rPr>
          <w:rFonts w:hint="default" w:ascii="仿宋" w:hAnsi="仿宋" w:eastAsia="仿宋" w:cs="仿宋"/>
          <w:b/>
          <w:bCs/>
          <w:color w:val="auto"/>
          <w:sz w:val="24"/>
          <w:highlight w:val="none"/>
          <w:lang w:val="en-US" w:eastAsia="zh-CN"/>
        </w:rPr>
      </w:pPr>
    </w:p>
    <w:sectPr>
      <w:headerReference r:id="rId12" w:type="default"/>
      <w:footerReference r:id="rId13" w:type="default"/>
      <w:pgSz w:w="16840" w:h="11907" w:orient="landscape"/>
      <w:pgMar w:top="720" w:right="720" w:bottom="720" w:left="720" w:header="765" w:footer="765" w:gutter="0"/>
      <w:pgNumType w:fmt="decimal"/>
      <w:cols w:space="0" w:num="1"/>
      <w:rtlGutter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406D1FC-0109-4DF0-A5C5-5DBDF0E802F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2" w:fontKey="{F6C770DF-8974-45CF-8878-F5DDFD69AD5F}"/>
  </w:font>
  <w:font w:name="Cambria">
    <w:panose1 w:val="02040503050406030204"/>
    <w:charset w:val="00"/>
    <w:family w:val="roman"/>
    <w:pitch w:val="default"/>
    <w:sig w:usb0="E00006FF" w:usb1="420024FF" w:usb2="02000000" w:usb3="00000000" w:csb0="2000019F" w:csb1="00000000"/>
  </w:font>
  <w:font w:name="楷体à.ā">
    <w:altName w:val="微软雅黑"/>
    <w:panose1 w:val="00000000000000000000"/>
    <w:charset w:val="86"/>
    <w:family w:val="modern"/>
    <w:pitch w:val="default"/>
    <w:sig w:usb0="00000000" w:usb1="00000000" w:usb2="00000010" w:usb3="00000000" w:csb0="00040000" w:csb1="00000000"/>
  </w:font>
  <w:font w:name="??¨¬?">
    <w:altName w:val="Calibri"/>
    <w:panose1 w:val="00000000000000000000"/>
    <w:charset w:val="00"/>
    <w:family w:val="auto"/>
    <w:pitch w:val="default"/>
    <w:sig w:usb0="00000000" w:usb1="00000000" w:usb2="00000000" w:usb3="00000000" w:csb0="0000009F" w:csb1="00000000"/>
  </w:font>
  <w:font w:name="Helvetica">
    <w:altName w:val="Arial"/>
    <w:panose1 w:val="020B0504020202020204"/>
    <w:charset w:val="00"/>
    <w:family w:val="swiss"/>
    <w:pitch w:val="default"/>
    <w:sig w:usb0="00000000" w:usb1="00000000" w:usb2="00000000" w:usb3="00000000" w:csb0="00000001" w:csb1="00000000"/>
  </w:font>
  <w:font w:name="Arial Unicode MS">
    <w:panose1 w:val="020B0604020202020204"/>
    <w:charset w:val="86"/>
    <w:family w:val="swiss"/>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embedRegular r:id="rId3" w:fontKey="{06BAFC73-DF58-4936-91EF-83174D697D29}"/>
  </w:font>
  <w:font w:name="仿宋_GB2312">
    <w:panose1 w:val="02010609030101010101"/>
    <w:charset w:val="86"/>
    <w:family w:val="modern"/>
    <w:pitch w:val="default"/>
    <w:sig w:usb0="00000001" w:usb1="080E0000" w:usb2="00000000" w:usb3="00000000" w:csb0="00040000" w:csb1="00000000"/>
  </w:font>
  <w:font w:name="方正仿宋简体">
    <w:altName w:val="微软雅黑"/>
    <w:panose1 w:val="00000000000000000000"/>
    <w:charset w:val="86"/>
    <w:family w:val="auto"/>
    <w:pitch w:val="default"/>
    <w:sig w:usb0="00000000" w:usb1="00000000" w:usb2="00000010" w:usb3="00000000" w:csb0="00040000" w:csb1="00000000"/>
  </w:font>
  <w:font w:name="SimSong Bold">
    <w:altName w:val="Times New Roman"/>
    <w:panose1 w:val="00000000000000000000"/>
    <w:charset w:val="00"/>
    <w:family w:val="roman"/>
    <w:pitch w:val="default"/>
    <w:sig w:usb0="00000000" w:usb1="00000000" w:usb2="00000000" w:usb3="00000000" w:csb0="00040001" w:csb1="00000000"/>
  </w:font>
  <w:font w:name="PingFang SC Regular">
    <w:altName w:val="Times New Roman"/>
    <w:panose1 w:val="00000000000000000000"/>
    <w:charset w:val="00"/>
    <w:family w:val="roman"/>
    <w:pitch w:val="default"/>
    <w:sig w:usb0="00000000" w:usb1="00000000" w:usb2="00000000" w:usb3="00000000" w:csb0="00040001"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embedRegular r:id="rId4" w:fontKey="{277F1C0E-E6DB-46BC-A12C-4065EEDAED6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jc w:val="center"/>
      <w:rPr>
        <w:highlight w:val="none"/>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1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96</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7"/>
                            <w:rPr>
                              <w:rFonts w:hint="eastAsia"/>
                              <w:sz w:val="16"/>
                              <w:szCs w:val="16"/>
                            </w:rPr>
                          </w:pPr>
                          <w:r>
                            <w:rPr>
                              <w:rFonts w:hint="eastAsia"/>
                              <w:sz w:val="16"/>
                              <w:szCs w:val="16"/>
                            </w:rPr>
                            <w:t xml:space="preserve">第 </w:t>
                          </w:r>
                          <w:r>
                            <w:rPr>
                              <w:rFonts w:hint="eastAsia"/>
                              <w:sz w:val="16"/>
                              <w:szCs w:val="16"/>
                            </w:rPr>
                            <w:fldChar w:fldCharType="begin"/>
                          </w:r>
                          <w:r>
                            <w:rPr>
                              <w:rFonts w:hint="eastAsia"/>
                              <w:sz w:val="16"/>
                              <w:szCs w:val="16"/>
                            </w:rPr>
                            <w:instrText xml:space="preserve"> PAGE  \* MERGEFORMAT </w:instrText>
                          </w:r>
                          <w:r>
                            <w:rPr>
                              <w:rFonts w:hint="eastAsia"/>
                              <w:sz w:val="16"/>
                              <w:szCs w:val="16"/>
                            </w:rPr>
                            <w:fldChar w:fldCharType="separate"/>
                          </w:r>
                          <w:r>
                            <w:rPr>
                              <w:sz w:val="16"/>
                              <w:szCs w:val="16"/>
                            </w:rPr>
                            <w:t>3</w:t>
                          </w:r>
                          <w:r>
                            <w:rPr>
                              <w:rFonts w:hint="eastAsia"/>
                              <w:sz w:val="16"/>
                              <w:szCs w:val="16"/>
                            </w:rPr>
                            <w:fldChar w:fldCharType="end"/>
                          </w:r>
                          <w:r>
                            <w:rPr>
                              <w:rFonts w:hint="eastAsia"/>
                              <w:sz w:val="16"/>
                              <w:szCs w:val="16"/>
                            </w:rPr>
                            <w:t xml:space="preserve"> 页 共 </w:t>
                          </w:r>
                          <w:r>
                            <w:rPr>
                              <w:rFonts w:hint="eastAsia"/>
                              <w:sz w:val="16"/>
                              <w:szCs w:val="16"/>
                            </w:rPr>
                            <w:fldChar w:fldCharType="begin"/>
                          </w:r>
                          <w:r>
                            <w:rPr>
                              <w:rFonts w:hint="eastAsia"/>
                              <w:sz w:val="16"/>
                              <w:szCs w:val="16"/>
                            </w:rPr>
                            <w:instrText xml:space="preserve"> NUMPAGES  \* MERGEFORMAT </w:instrText>
                          </w:r>
                          <w:r>
                            <w:rPr>
                              <w:rFonts w:hint="eastAsia"/>
                              <w:sz w:val="16"/>
                              <w:szCs w:val="16"/>
                            </w:rPr>
                            <w:fldChar w:fldCharType="separate"/>
                          </w:r>
                          <w:r>
                            <w:rPr>
                              <w:sz w:val="16"/>
                              <w:szCs w:val="16"/>
                            </w:rPr>
                            <w:t>4</w:t>
                          </w:r>
                          <w:r>
                            <w:rPr>
                              <w:rFonts w:hint="eastAsia"/>
                              <w:sz w:val="16"/>
                              <w:szCs w:val="16"/>
                            </w:rPr>
                            <w:fldChar w:fldCharType="end"/>
                          </w:r>
                          <w:r>
                            <w:rPr>
                              <w:rFonts w:hint="eastAsia"/>
                              <w:sz w:val="16"/>
                              <w:szCs w:val="16"/>
                            </w:rPr>
                            <w:t xml:space="preserve"> 页</w:t>
                          </w:r>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zql5uc8AAAAFAQAADwAA&#10;AAAAAAABACAAAAAiAAAAZHJzL2Rvd25yZXYueG1sUEsBAhQAFAAAAAgAh07iQBDv2ZGtAQAASwMA&#10;AA4AAAAAAAAAAQAgAAAAHgEAAGRycy9lMm9Eb2MueG1sUEsFBgAAAAAGAAYAWQEAAD0FAAAAAA==&#10;">
              <v:fill on="f" focussize="0,0"/>
              <v:stroke on="f"/>
              <v:imagedata o:title=""/>
              <o:lock v:ext="edit" aspectratio="f"/>
              <v:textbox inset="0mm,0mm,0mm,0mm" style="mso-fit-shape-to-text:t;">
                <w:txbxContent>
                  <w:p>
                    <w:pPr>
                      <w:pStyle w:val="17"/>
                      <w:rPr>
                        <w:rFonts w:hint="eastAsia"/>
                        <w:sz w:val="16"/>
                        <w:szCs w:val="16"/>
                      </w:rPr>
                    </w:pPr>
                    <w:r>
                      <w:rPr>
                        <w:rFonts w:hint="eastAsia"/>
                        <w:sz w:val="16"/>
                        <w:szCs w:val="16"/>
                      </w:rPr>
                      <w:t xml:space="preserve">第 </w:t>
                    </w:r>
                    <w:r>
                      <w:rPr>
                        <w:rFonts w:hint="eastAsia"/>
                        <w:sz w:val="16"/>
                        <w:szCs w:val="16"/>
                      </w:rPr>
                      <w:fldChar w:fldCharType="begin"/>
                    </w:r>
                    <w:r>
                      <w:rPr>
                        <w:rFonts w:hint="eastAsia"/>
                        <w:sz w:val="16"/>
                        <w:szCs w:val="16"/>
                      </w:rPr>
                      <w:instrText xml:space="preserve"> PAGE  \* MERGEFORMAT </w:instrText>
                    </w:r>
                    <w:r>
                      <w:rPr>
                        <w:rFonts w:hint="eastAsia"/>
                        <w:sz w:val="16"/>
                        <w:szCs w:val="16"/>
                      </w:rPr>
                      <w:fldChar w:fldCharType="separate"/>
                    </w:r>
                    <w:r>
                      <w:rPr>
                        <w:sz w:val="16"/>
                        <w:szCs w:val="16"/>
                      </w:rPr>
                      <w:t>3</w:t>
                    </w:r>
                    <w:r>
                      <w:rPr>
                        <w:rFonts w:hint="eastAsia"/>
                        <w:sz w:val="16"/>
                        <w:szCs w:val="16"/>
                      </w:rPr>
                      <w:fldChar w:fldCharType="end"/>
                    </w:r>
                    <w:r>
                      <w:rPr>
                        <w:rFonts w:hint="eastAsia"/>
                        <w:sz w:val="16"/>
                        <w:szCs w:val="16"/>
                      </w:rPr>
                      <w:t xml:space="preserve"> 页 共 </w:t>
                    </w:r>
                    <w:r>
                      <w:rPr>
                        <w:rFonts w:hint="eastAsia"/>
                        <w:sz w:val="16"/>
                        <w:szCs w:val="16"/>
                      </w:rPr>
                      <w:fldChar w:fldCharType="begin"/>
                    </w:r>
                    <w:r>
                      <w:rPr>
                        <w:rFonts w:hint="eastAsia"/>
                        <w:sz w:val="16"/>
                        <w:szCs w:val="16"/>
                      </w:rPr>
                      <w:instrText xml:space="preserve"> NUMPAGES  \* MERGEFORMAT </w:instrText>
                    </w:r>
                    <w:r>
                      <w:rPr>
                        <w:rFonts w:hint="eastAsia"/>
                        <w:sz w:val="16"/>
                        <w:szCs w:val="16"/>
                      </w:rPr>
                      <w:fldChar w:fldCharType="separate"/>
                    </w:r>
                    <w:r>
                      <w:rPr>
                        <w:sz w:val="16"/>
                        <w:szCs w:val="16"/>
                      </w:rPr>
                      <w:t>4</w:t>
                    </w:r>
                    <w:r>
                      <w:rPr>
                        <w:rFonts w:hint="eastAsia"/>
                        <w:sz w:val="16"/>
                        <w:szCs w:val="16"/>
                      </w:rPr>
                      <w:fldChar w:fldCharType="end"/>
                    </w:r>
                    <w:r>
                      <w:rPr>
                        <w:rFonts w:hint="eastAsia"/>
                        <w:sz w:val="16"/>
                        <w:szCs w:val="16"/>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center" w:y="1"/>
      <w:rPr>
        <w:rStyle w:val="35"/>
      </w:rPr>
    </w:pPr>
    <w:r>
      <w:fldChar w:fldCharType="begin"/>
    </w:r>
    <w:r>
      <w:rPr>
        <w:rStyle w:val="35"/>
      </w:rPr>
      <w:instrText xml:space="preserve">PAGE  </w:instrText>
    </w:r>
    <w:r>
      <w:fldChar w:fldCharType="separate"/>
    </w:r>
    <w:r>
      <w:fldChar w:fldCharType="end"/>
    </w:r>
  </w:p>
  <w:p>
    <w:pPr>
      <w:pStyle w:val="17"/>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105" w:firstLine="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pPr>
                          <w:r>
                            <w:t xml:space="preserve">第 </w:t>
                          </w:r>
                          <w:r>
                            <w:fldChar w:fldCharType="begin"/>
                          </w:r>
                          <w:r>
                            <w:instrText xml:space="preserve"> PAGE  \* MERGEFORMAT </w:instrText>
                          </w:r>
                          <w:r>
                            <w:fldChar w:fldCharType="separate"/>
                          </w:r>
                          <w:r>
                            <w:t>83</w:t>
                          </w:r>
                          <w:r>
                            <w:fldChar w:fldCharType="end"/>
                          </w:r>
                          <w:r>
                            <w:t xml:space="preserve"> 页 共 </w:t>
                          </w:r>
                          <w:r>
                            <w:fldChar w:fldCharType="begin"/>
                          </w:r>
                          <w:r>
                            <w:instrText xml:space="preserve"> NUMPAGES  \* MERGEFORMAT </w:instrText>
                          </w:r>
                          <w:r>
                            <w:fldChar w:fldCharType="separate"/>
                          </w:r>
                          <w:r>
                            <w:t>96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17"/>
                    </w:pPr>
                    <w:r>
                      <w:t xml:space="preserve">第 </w:t>
                    </w:r>
                    <w:r>
                      <w:fldChar w:fldCharType="begin"/>
                    </w:r>
                    <w:r>
                      <w:instrText xml:space="preserve"> PAGE  \* MERGEFORMAT </w:instrText>
                    </w:r>
                    <w:r>
                      <w:fldChar w:fldCharType="separate"/>
                    </w:r>
                    <w:r>
                      <w:t>83</w:t>
                    </w:r>
                    <w:r>
                      <w:fldChar w:fldCharType="end"/>
                    </w:r>
                    <w:r>
                      <w:t xml:space="preserve"> 页 共 </w:t>
                    </w:r>
                    <w:r>
                      <w:fldChar w:fldCharType="begin"/>
                    </w:r>
                    <w:r>
                      <w:instrText xml:space="preserve"> NUMPAGES  \* MERGEFORMAT </w:instrText>
                    </w:r>
                    <w:r>
                      <w:fldChar w:fldCharType="separate"/>
                    </w:r>
                    <w:r>
                      <w:t>96</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top w:val="none" w:color="auto" w:sz="0" w:space="0"/>
        <w:left w:val="none" w:color="auto" w:sz="0" w:space="0"/>
        <w:bottom w:val="none" w:color="auto" w:sz="0" w:space="1"/>
        <w:right w:val="none" w:color="auto" w:sz="0" w:space="0"/>
        <w:between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1"/>
      </w:pBdr>
      <w:jc w:val="left"/>
      <w:rPr>
        <w:rFonts w:hint="eastAsia"/>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top w:val="none" w:color="auto" w:sz="0" w:space="0"/>
        <w:left w:val="none" w:color="auto" w:sz="0" w:space="0"/>
        <w:bottom w:val="none" w:color="auto" w:sz="0" w:space="1"/>
        <w:right w:val="none" w:color="auto" w:sz="0" w:space="0"/>
        <w:between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F81A098"/>
    <w:multiLevelType w:val="singleLevel"/>
    <w:tmpl w:val="9F81A098"/>
    <w:lvl w:ilvl="0" w:tentative="0">
      <w:start w:val="8"/>
      <w:numFmt w:val="decimal"/>
      <w:suff w:val="nothing"/>
      <w:lvlText w:val="%1、"/>
      <w:lvlJc w:val="left"/>
    </w:lvl>
  </w:abstractNum>
  <w:abstractNum w:abstractNumId="1">
    <w:nsid w:val="AF89982F"/>
    <w:multiLevelType w:val="singleLevel"/>
    <w:tmpl w:val="AF89982F"/>
    <w:lvl w:ilvl="0" w:tentative="0">
      <w:start w:val="2"/>
      <w:numFmt w:val="decimal"/>
      <w:suff w:val="nothing"/>
      <w:lvlText w:val="（%1）"/>
      <w:lvlJc w:val="left"/>
    </w:lvl>
  </w:abstractNum>
  <w:abstractNum w:abstractNumId="2">
    <w:nsid w:val="EE9011DD"/>
    <w:multiLevelType w:val="singleLevel"/>
    <w:tmpl w:val="EE9011DD"/>
    <w:lvl w:ilvl="0" w:tentative="0">
      <w:start w:val="2"/>
      <w:numFmt w:val="chineseCounting"/>
      <w:suff w:val="nothing"/>
      <w:lvlText w:val="%1、"/>
      <w:lvlJc w:val="left"/>
      <w:rPr>
        <w:rFonts w:hint="eastAsia"/>
      </w:rPr>
    </w:lvl>
  </w:abstractNum>
  <w:abstractNum w:abstractNumId="3">
    <w:nsid w:val="00000029"/>
    <w:multiLevelType w:val="singleLevel"/>
    <w:tmpl w:val="00000029"/>
    <w:lvl w:ilvl="0" w:tentative="0">
      <w:start w:val="1"/>
      <w:numFmt w:val="decimal"/>
      <w:suff w:val="nothing"/>
      <w:lvlText w:val="（%1）"/>
      <w:lvlJc w:val="left"/>
    </w:lvl>
  </w:abstractNum>
  <w:abstractNum w:abstractNumId="4">
    <w:nsid w:val="0847CB66"/>
    <w:multiLevelType w:val="singleLevel"/>
    <w:tmpl w:val="0847CB66"/>
    <w:lvl w:ilvl="0" w:tentative="0">
      <w:start w:val="7"/>
      <w:numFmt w:val="decimal"/>
      <w:suff w:val="nothing"/>
      <w:lvlText w:val="%1、"/>
      <w:lvlJc w:val="left"/>
    </w:lvl>
  </w:abstractNum>
  <w:abstractNum w:abstractNumId="5">
    <w:nsid w:val="1AE93F95"/>
    <w:multiLevelType w:val="singleLevel"/>
    <w:tmpl w:val="1AE93F95"/>
    <w:lvl w:ilvl="0" w:tentative="0">
      <w:start w:val="1"/>
      <w:numFmt w:val="decimal"/>
      <w:suff w:val="nothing"/>
      <w:lvlText w:val="%1、"/>
      <w:lvlJc w:val="left"/>
    </w:lvl>
  </w:abstractNum>
  <w:abstractNum w:abstractNumId="6">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126"/>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7">
    <w:nsid w:val="47E1A24B"/>
    <w:multiLevelType w:val="singleLevel"/>
    <w:tmpl w:val="47E1A24B"/>
    <w:lvl w:ilvl="0" w:tentative="0">
      <w:start w:val="7"/>
      <w:numFmt w:val="chineseCounting"/>
      <w:suff w:val="nothing"/>
      <w:lvlText w:val="%1、"/>
      <w:lvlJc w:val="left"/>
      <w:rPr>
        <w:rFonts w:hint="eastAsia"/>
      </w:rPr>
    </w:lvl>
  </w:abstractNum>
  <w:num w:numId="1">
    <w:abstractNumId w:val="6"/>
  </w:num>
  <w:num w:numId="2">
    <w:abstractNumId w:val="1"/>
  </w:num>
  <w:num w:numId="3">
    <w:abstractNumId w:val="3"/>
  </w:num>
  <w:num w:numId="4">
    <w:abstractNumId w:val="2"/>
  </w:num>
  <w:num w:numId="5">
    <w:abstractNumId w:val="5"/>
  </w:num>
  <w:num w:numId="6">
    <w:abstractNumId w:val="4"/>
  </w:num>
  <w:num w:numId="7">
    <w:abstractNumId w:val="0"/>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7"/>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NjMjIxZjBiNWQzMzA2YmQyNzdlZWFiMWEzMzdlNmMifQ=="/>
  </w:docVars>
  <w:rsids>
    <w:rsidRoot w:val="00C0758D"/>
    <w:rsid w:val="00005994"/>
    <w:rsid w:val="000107E5"/>
    <w:rsid w:val="00013372"/>
    <w:rsid w:val="00013A29"/>
    <w:rsid w:val="000151BD"/>
    <w:rsid w:val="00020AB2"/>
    <w:rsid w:val="000230F3"/>
    <w:rsid w:val="00024DF8"/>
    <w:rsid w:val="00030EAD"/>
    <w:rsid w:val="0003247A"/>
    <w:rsid w:val="00034D86"/>
    <w:rsid w:val="00036E28"/>
    <w:rsid w:val="00040064"/>
    <w:rsid w:val="00042152"/>
    <w:rsid w:val="000421D3"/>
    <w:rsid w:val="0005087E"/>
    <w:rsid w:val="00055422"/>
    <w:rsid w:val="000571A8"/>
    <w:rsid w:val="0006080E"/>
    <w:rsid w:val="0006347D"/>
    <w:rsid w:val="00070C33"/>
    <w:rsid w:val="00076794"/>
    <w:rsid w:val="000772D7"/>
    <w:rsid w:val="00082E58"/>
    <w:rsid w:val="000834D4"/>
    <w:rsid w:val="0008543B"/>
    <w:rsid w:val="0008668B"/>
    <w:rsid w:val="0009077D"/>
    <w:rsid w:val="0009097A"/>
    <w:rsid w:val="00091B5E"/>
    <w:rsid w:val="00094E1D"/>
    <w:rsid w:val="0009543E"/>
    <w:rsid w:val="00096B7A"/>
    <w:rsid w:val="0009728F"/>
    <w:rsid w:val="000975F5"/>
    <w:rsid w:val="00097693"/>
    <w:rsid w:val="000A15B2"/>
    <w:rsid w:val="000A3C91"/>
    <w:rsid w:val="000B0860"/>
    <w:rsid w:val="000B2ECB"/>
    <w:rsid w:val="000B7038"/>
    <w:rsid w:val="000C28BA"/>
    <w:rsid w:val="000C6200"/>
    <w:rsid w:val="000E1F82"/>
    <w:rsid w:val="000E426A"/>
    <w:rsid w:val="000E5A89"/>
    <w:rsid w:val="000F373A"/>
    <w:rsid w:val="000F409F"/>
    <w:rsid w:val="000F5CA7"/>
    <w:rsid w:val="001020BF"/>
    <w:rsid w:val="00102585"/>
    <w:rsid w:val="00102EDD"/>
    <w:rsid w:val="0010572F"/>
    <w:rsid w:val="00110833"/>
    <w:rsid w:val="001212F9"/>
    <w:rsid w:val="001224A0"/>
    <w:rsid w:val="0012308E"/>
    <w:rsid w:val="0013179C"/>
    <w:rsid w:val="00131973"/>
    <w:rsid w:val="00136B90"/>
    <w:rsid w:val="00137147"/>
    <w:rsid w:val="00137229"/>
    <w:rsid w:val="00142E0A"/>
    <w:rsid w:val="001526E0"/>
    <w:rsid w:val="00156B76"/>
    <w:rsid w:val="0015723D"/>
    <w:rsid w:val="00161884"/>
    <w:rsid w:val="001664CC"/>
    <w:rsid w:val="00170B3A"/>
    <w:rsid w:val="00173DE7"/>
    <w:rsid w:val="001757E2"/>
    <w:rsid w:val="00175875"/>
    <w:rsid w:val="00176BBA"/>
    <w:rsid w:val="00185042"/>
    <w:rsid w:val="00191C4A"/>
    <w:rsid w:val="001A0186"/>
    <w:rsid w:val="001A0E69"/>
    <w:rsid w:val="001A1E4B"/>
    <w:rsid w:val="001A34D4"/>
    <w:rsid w:val="001A5546"/>
    <w:rsid w:val="001C01C2"/>
    <w:rsid w:val="001C62A5"/>
    <w:rsid w:val="001D0E86"/>
    <w:rsid w:val="001D15A3"/>
    <w:rsid w:val="001D2371"/>
    <w:rsid w:val="001D2956"/>
    <w:rsid w:val="001E1690"/>
    <w:rsid w:val="001F76D3"/>
    <w:rsid w:val="00207779"/>
    <w:rsid w:val="00210AE5"/>
    <w:rsid w:val="002155EB"/>
    <w:rsid w:val="002159D1"/>
    <w:rsid w:val="0022485E"/>
    <w:rsid w:val="00225089"/>
    <w:rsid w:val="00242B81"/>
    <w:rsid w:val="00245A67"/>
    <w:rsid w:val="00245B8E"/>
    <w:rsid w:val="00255E95"/>
    <w:rsid w:val="00264FB2"/>
    <w:rsid w:val="00273599"/>
    <w:rsid w:val="00274C65"/>
    <w:rsid w:val="00275F13"/>
    <w:rsid w:val="002767BE"/>
    <w:rsid w:val="00283D04"/>
    <w:rsid w:val="0028587A"/>
    <w:rsid w:val="0028594F"/>
    <w:rsid w:val="00285A8E"/>
    <w:rsid w:val="00286239"/>
    <w:rsid w:val="00287885"/>
    <w:rsid w:val="002953B2"/>
    <w:rsid w:val="002A3EAB"/>
    <w:rsid w:val="002B0AF0"/>
    <w:rsid w:val="002B2801"/>
    <w:rsid w:val="002B5220"/>
    <w:rsid w:val="002D1981"/>
    <w:rsid w:val="002D1D71"/>
    <w:rsid w:val="002E15CA"/>
    <w:rsid w:val="002E57D6"/>
    <w:rsid w:val="002E600A"/>
    <w:rsid w:val="002E6DB4"/>
    <w:rsid w:val="00303058"/>
    <w:rsid w:val="003119D1"/>
    <w:rsid w:val="00312F1A"/>
    <w:rsid w:val="00324388"/>
    <w:rsid w:val="0032513E"/>
    <w:rsid w:val="00336F5B"/>
    <w:rsid w:val="0034018C"/>
    <w:rsid w:val="003623B1"/>
    <w:rsid w:val="003625DF"/>
    <w:rsid w:val="00364656"/>
    <w:rsid w:val="00371DF2"/>
    <w:rsid w:val="00372FCF"/>
    <w:rsid w:val="00373488"/>
    <w:rsid w:val="003845DC"/>
    <w:rsid w:val="00390BEB"/>
    <w:rsid w:val="00394A82"/>
    <w:rsid w:val="003A7991"/>
    <w:rsid w:val="003B0323"/>
    <w:rsid w:val="003B1BD3"/>
    <w:rsid w:val="003D7455"/>
    <w:rsid w:val="003E0CBE"/>
    <w:rsid w:val="003E5DCB"/>
    <w:rsid w:val="003E7362"/>
    <w:rsid w:val="003F5064"/>
    <w:rsid w:val="003F53F7"/>
    <w:rsid w:val="003F65BA"/>
    <w:rsid w:val="0040291B"/>
    <w:rsid w:val="00403BBF"/>
    <w:rsid w:val="004102D9"/>
    <w:rsid w:val="004125C7"/>
    <w:rsid w:val="004135D3"/>
    <w:rsid w:val="00416480"/>
    <w:rsid w:val="004164A4"/>
    <w:rsid w:val="00421629"/>
    <w:rsid w:val="004231C1"/>
    <w:rsid w:val="00423764"/>
    <w:rsid w:val="0042507F"/>
    <w:rsid w:val="00425765"/>
    <w:rsid w:val="0042615C"/>
    <w:rsid w:val="00431F5D"/>
    <w:rsid w:val="00432C41"/>
    <w:rsid w:val="00434EC6"/>
    <w:rsid w:val="00441876"/>
    <w:rsid w:val="00455BC7"/>
    <w:rsid w:val="00461571"/>
    <w:rsid w:val="004649CF"/>
    <w:rsid w:val="00465EB7"/>
    <w:rsid w:val="00471ECA"/>
    <w:rsid w:val="00475820"/>
    <w:rsid w:val="004767FF"/>
    <w:rsid w:val="00490B9C"/>
    <w:rsid w:val="004A3028"/>
    <w:rsid w:val="004A38FE"/>
    <w:rsid w:val="004A5916"/>
    <w:rsid w:val="004A5B7A"/>
    <w:rsid w:val="004A7EDB"/>
    <w:rsid w:val="004B2B21"/>
    <w:rsid w:val="004B3F79"/>
    <w:rsid w:val="004C11C7"/>
    <w:rsid w:val="004C4D8A"/>
    <w:rsid w:val="004C7F44"/>
    <w:rsid w:val="004E05B0"/>
    <w:rsid w:val="004E61D6"/>
    <w:rsid w:val="004F0022"/>
    <w:rsid w:val="004F1B14"/>
    <w:rsid w:val="004F1E90"/>
    <w:rsid w:val="0050072B"/>
    <w:rsid w:val="00501568"/>
    <w:rsid w:val="00503F3F"/>
    <w:rsid w:val="005150F5"/>
    <w:rsid w:val="00523798"/>
    <w:rsid w:val="00527577"/>
    <w:rsid w:val="00527BBC"/>
    <w:rsid w:val="005310EA"/>
    <w:rsid w:val="0053201C"/>
    <w:rsid w:val="005334FB"/>
    <w:rsid w:val="0053707F"/>
    <w:rsid w:val="00537646"/>
    <w:rsid w:val="00540210"/>
    <w:rsid w:val="00540AF4"/>
    <w:rsid w:val="00546A9F"/>
    <w:rsid w:val="0054789D"/>
    <w:rsid w:val="005511FA"/>
    <w:rsid w:val="00555429"/>
    <w:rsid w:val="00560AD8"/>
    <w:rsid w:val="00560D44"/>
    <w:rsid w:val="0056271D"/>
    <w:rsid w:val="00566B50"/>
    <w:rsid w:val="005704FD"/>
    <w:rsid w:val="00571021"/>
    <w:rsid w:val="005729E3"/>
    <w:rsid w:val="005739F5"/>
    <w:rsid w:val="00574DD9"/>
    <w:rsid w:val="0057520B"/>
    <w:rsid w:val="0057615B"/>
    <w:rsid w:val="00581BF1"/>
    <w:rsid w:val="0058387F"/>
    <w:rsid w:val="00585797"/>
    <w:rsid w:val="005864B8"/>
    <w:rsid w:val="005874F6"/>
    <w:rsid w:val="00587E3B"/>
    <w:rsid w:val="005908DF"/>
    <w:rsid w:val="00592B5B"/>
    <w:rsid w:val="00592DD3"/>
    <w:rsid w:val="005A141C"/>
    <w:rsid w:val="005B3962"/>
    <w:rsid w:val="005B6522"/>
    <w:rsid w:val="005D6330"/>
    <w:rsid w:val="005D7987"/>
    <w:rsid w:val="005D7A02"/>
    <w:rsid w:val="005E44ED"/>
    <w:rsid w:val="005F2D2F"/>
    <w:rsid w:val="005F7637"/>
    <w:rsid w:val="00603592"/>
    <w:rsid w:val="0061670E"/>
    <w:rsid w:val="00620A09"/>
    <w:rsid w:val="006272A4"/>
    <w:rsid w:val="00627D79"/>
    <w:rsid w:val="00634514"/>
    <w:rsid w:val="006350C2"/>
    <w:rsid w:val="00645D96"/>
    <w:rsid w:val="00645F36"/>
    <w:rsid w:val="0065455D"/>
    <w:rsid w:val="00661724"/>
    <w:rsid w:val="00664EC5"/>
    <w:rsid w:val="00665542"/>
    <w:rsid w:val="00667AE8"/>
    <w:rsid w:val="006702EC"/>
    <w:rsid w:val="00675F03"/>
    <w:rsid w:val="00680521"/>
    <w:rsid w:val="00680A29"/>
    <w:rsid w:val="00682944"/>
    <w:rsid w:val="00683496"/>
    <w:rsid w:val="00690B12"/>
    <w:rsid w:val="00695A39"/>
    <w:rsid w:val="00696576"/>
    <w:rsid w:val="006A3C17"/>
    <w:rsid w:val="006A4D25"/>
    <w:rsid w:val="006A61AB"/>
    <w:rsid w:val="006B1EEC"/>
    <w:rsid w:val="006B225A"/>
    <w:rsid w:val="006D1B6A"/>
    <w:rsid w:val="006D1EC2"/>
    <w:rsid w:val="006D587E"/>
    <w:rsid w:val="006D6D0D"/>
    <w:rsid w:val="006E17FD"/>
    <w:rsid w:val="006E191B"/>
    <w:rsid w:val="006E34BA"/>
    <w:rsid w:val="006E39EC"/>
    <w:rsid w:val="006E55BF"/>
    <w:rsid w:val="006E6774"/>
    <w:rsid w:val="00714E9B"/>
    <w:rsid w:val="007168DF"/>
    <w:rsid w:val="00727053"/>
    <w:rsid w:val="00741F24"/>
    <w:rsid w:val="00743971"/>
    <w:rsid w:val="0074479D"/>
    <w:rsid w:val="007451EE"/>
    <w:rsid w:val="0074625E"/>
    <w:rsid w:val="00747EC1"/>
    <w:rsid w:val="00752036"/>
    <w:rsid w:val="007547E1"/>
    <w:rsid w:val="0075590B"/>
    <w:rsid w:val="00756DF9"/>
    <w:rsid w:val="00760846"/>
    <w:rsid w:val="00767974"/>
    <w:rsid w:val="00771C18"/>
    <w:rsid w:val="007739FF"/>
    <w:rsid w:val="00781992"/>
    <w:rsid w:val="0079284A"/>
    <w:rsid w:val="007930F0"/>
    <w:rsid w:val="007950F6"/>
    <w:rsid w:val="00795261"/>
    <w:rsid w:val="0079661A"/>
    <w:rsid w:val="00797EB2"/>
    <w:rsid w:val="007A3628"/>
    <w:rsid w:val="007A4025"/>
    <w:rsid w:val="007A771C"/>
    <w:rsid w:val="007B49C3"/>
    <w:rsid w:val="007C296B"/>
    <w:rsid w:val="007C6A09"/>
    <w:rsid w:val="007C79F2"/>
    <w:rsid w:val="007D2D66"/>
    <w:rsid w:val="007D7D39"/>
    <w:rsid w:val="007E18BF"/>
    <w:rsid w:val="007E5AE4"/>
    <w:rsid w:val="007F19E4"/>
    <w:rsid w:val="007F2E49"/>
    <w:rsid w:val="007F3405"/>
    <w:rsid w:val="007F55D1"/>
    <w:rsid w:val="00802411"/>
    <w:rsid w:val="0080605B"/>
    <w:rsid w:val="00810F7C"/>
    <w:rsid w:val="0082076A"/>
    <w:rsid w:val="00821C8B"/>
    <w:rsid w:val="00823B44"/>
    <w:rsid w:val="008301C2"/>
    <w:rsid w:val="008307C7"/>
    <w:rsid w:val="00840E54"/>
    <w:rsid w:val="00841BF9"/>
    <w:rsid w:val="0084379E"/>
    <w:rsid w:val="00861AED"/>
    <w:rsid w:val="00865155"/>
    <w:rsid w:val="008720D6"/>
    <w:rsid w:val="00877C14"/>
    <w:rsid w:val="00885631"/>
    <w:rsid w:val="00891388"/>
    <w:rsid w:val="00894456"/>
    <w:rsid w:val="00895521"/>
    <w:rsid w:val="008A2D91"/>
    <w:rsid w:val="008B1F3C"/>
    <w:rsid w:val="008C21CD"/>
    <w:rsid w:val="008C2869"/>
    <w:rsid w:val="008C4333"/>
    <w:rsid w:val="008C4D2D"/>
    <w:rsid w:val="008C6407"/>
    <w:rsid w:val="008D148D"/>
    <w:rsid w:val="008E0C60"/>
    <w:rsid w:val="008E1659"/>
    <w:rsid w:val="008E6722"/>
    <w:rsid w:val="008F5547"/>
    <w:rsid w:val="008F7C77"/>
    <w:rsid w:val="00901DF2"/>
    <w:rsid w:val="00902609"/>
    <w:rsid w:val="00903E41"/>
    <w:rsid w:val="00913D47"/>
    <w:rsid w:val="009162AE"/>
    <w:rsid w:val="009174A2"/>
    <w:rsid w:val="00922C5C"/>
    <w:rsid w:val="009261AD"/>
    <w:rsid w:val="009343D6"/>
    <w:rsid w:val="00942037"/>
    <w:rsid w:val="00942DBA"/>
    <w:rsid w:val="009444C8"/>
    <w:rsid w:val="009602E7"/>
    <w:rsid w:val="00960E00"/>
    <w:rsid w:val="0097028E"/>
    <w:rsid w:val="009718D1"/>
    <w:rsid w:val="00975AED"/>
    <w:rsid w:val="0097633F"/>
    <w:rsid w:val="00980347"/>
    <w:rsid w:val="009872E5"/>
    <w:rsid w:val="00990AA8"/>
    <w:rsid w:val="00995257"/>
    <w:rsid w:val="00995CBE"/>
    <w:rsid w:val="009A677C"/>
    <w:rsid w:val="009B2F14"/>
    <w:rsid w:val="009D2C8F"/>
    <w:rsid w:val="009D4468"/>
    <w:rsid w:val="009D7274"/>
    <w:rsid w:val="009F18AD"/>
    <w:rsid w:val="009F1D70"/>
    <w:rsid w:val="009F3F2E"/>
    <w:rsid w:val="00A0371A"/>
    <w:rsid w:val="00A03823"/>
    <w:rsid w:val="00A126AA"/>
    <w:rsid w:val="00A14457"/>
    <w:rsid w:val="00A17F51"/>
    <w:rsid w:val="00A23AB6"/>
    <w:rsid w:val="00A247E1"/>
    <w:rsid w:val="00A301B2"/>
    <w:rsid w:val="00A311C8"/>
    <w:rsid w:val="00A31D1A"/>
    <w:rsid w:val="00A331E5"/>
    <w:rsid w:val="00A34580"/>
    <w:rsid w:val="00A437DC"/>
    <w:rsid w:val="00A45A9A"/>
    <w:rsid w:val="00A46334"/>
    <w:rsid w:val="00A47D7E"/>
    <w:rsid w:val="00A47E00"/>
    <w:rsid w:val="00A51042"/>
    <w:rsid w:val="00A53736"/>
    <w:rsid w:val="00A537D2"/>
    <w:rsid w:val="00A54C9C"/>
    <w:rsid w:val="00A60D54"/>
    <w:rsid w:val="00A617F3"/>
    <w:rsid w:val="00A61D53"/>
    <w:rsid w:val="00A66986"/>
    <w:rsid w:val="00A66D1C"/>
    <w:rsid w:val="00A80077"/>
    <w:rsid w:val="00A82665"/>
    <w:rsid w:val="00A85063"/>
    <w:rsid w:val="00A87C9B"/>
    <w:rsid w:val="00A909D5"/>
    <w:rsid w:val="00A92937"/>
    <w:rsid w:val="00A93F30"/>
    <w:rsid w:val="00AA02A3"/>
    <w:rsid w:val="00AA5166"/>
    <w:rsid w:val="00AB028C"/>
    <w:rsid w:val="00AC3E31"/>
    <w:rsid w:val="00AC7405"/>
    <w:rsid w:val="00AD0A5B"/>
    <w:rsid w:val="00AD7E95"/>
    <w:rsid w:val="00AE09DF"/>
    <w:rsid w:val="00AE278B"/>
    <w:rsid w:val="00AE7CFF"/>
    <w:rsid w:val="00AF0BA8"/>
    <w:rsid w:val="00AF118B"/>
    <w:rsid w:val="00AF1F26"/>
    <w:rsid w:val="00AF67FF"/>
    <w:rsid w:val="00AF79D5"/>
    <w:rsid w:val="00B04E1B"/>
    <w:rsid w:val="00B058D9"/>
    <w:rsid w:val="00B20364"/>
    <w:rsid w:val="00B353B4"/>
    <w:rsid w:val="00B375A2"/>
    <w:rsid w:val="00B376E0"/>
    <w:rsid w:val="00B406F9"/>
    <w:rsid w:val="00B43771"/>
    <w:rsid w:val="00B43AC5"/>
    <w:rsid w:val="00B46FB0"/>
    <w:rsid w:val="00B51BA1"/>
    <w:rsid w:val="00B53805"/>
    <w:rsid w:val="00B560A4"/>
    <w:rsid w:val="00B60277"/>
    <w:rsid w:val="00B62277"/>
    <w:rsid w:val="00B6709D"/>
    <w:rsid w:val="00B73983"/>
    <w:rsid w:val="00B7485B"/>
    <w:rsid w:val="00B80DE1"/>
    <w:rsid w:val="00B82716"/>
    <w:rsid w:val="00B95491"/>
    <w:rsid w:val="00B9652F"/>
    <w:rsid w:val="00BA0B08"/>
    <w:rsid w:val="00BA12C3"/>
    <w:rsid w:val="00BA1880"/>
    <w:rsid w:val="00BA764B"/>
    <w:rsid w:val="00BA7DB0"/>
    <w:rsid w:val="00BB3222"/>
    <w:rsid w:val="00BB5441"/>
    <w:rsid w:val="00BB7157"/>
    <w:rsid w:val="00BD0C4F"/>
    <w:rsid w:val="00BD2A6C"/>
    <w:rsid w:val="00BD3071"/>
    <w:rsid w:val="00BD7E51"/>
    <w:rsid w:val="00BF6EE0"/>
    <w:rsid w:val="00C025F4"/>
    <w:rsid w:val="00C0281C"/>
    <w:rsid w:val="00C03E17"/>
    <w:rsid w:val="00C04413"/>
    <w:rsid w:val="00C0758D"/>
    <w:rsid w:val="00C13C61"/>
    <w:rsid w:val="00C22023"/>
    <w:rsid w:val="00C2705D"/>
    <w:rsid w:val="00C27929"/>
    <w:rsid w:val="00C31165"/>
    <w:rsid w:val="00C3275A"/>
    <w:rsid w:val="00C34708"/>
    <w:rsid w:val="00C36843"/>
    <w:rsid w:val="00C41ECD"/>
    <w:rsid w:val="00C45B40"/>
    <w:rsid w:val="00C53E95"/>
    <w:rsid w:val="00C55FCB"/>
    <w:rsid w:val="00C56D03"/>
    <w:rsid w:val="00C61D8D"/>
    <w:rsid w:val="00C76F7D"/>
    <w:rsid w:val="00C8079D"/>
    <w:rsid w:val="00C818F7"/>
    <w:rsid w:val="00C90655"/>
    <w:rsid w:val="00C958F8"/>
    <w:rsid w:val="00CA1085"/>
    <w:rsid w:val="00CB0C0D"/>
    <w:rsid w:val="00CB1360"/>
    <w:rsid w:val="00CB16A2"/>
    <w:rsid w:val="00CC462B"/>
    <w:rsid w:val="00CC6AD0"/>
    <w:rsid w:val="00CE1E1A"/>
    <w:rsid w:val="00CE47B0"/>
    <w:rsid w:val="00CE57B6"/>
    <w:rsid w:val="00CF6E80"/>
    <w:rsid w:val="00D06454"/>
    <w:rsid w:val="00D1125B"/>
    <w:rsid w:val="00D23B9A"/>
    <w:rsid w:val="00D26B37"/>
    <w:rsid w:val="00D3048B"/>
    <w:rsid w:val="00D31A43"/>
    <w:rsid w:val="00D34694"/>
    <w:rsid w:val="00D42670"/>
    <w:rsid w:val="00D4340E"/>
    <w:rsid w:val="00D44486"/>
    <w:rsid w:val="00D447D2"/>
    <w:rsid w:val="00D45D2E"/>
    <w:rsid w:val="00D5071C"/>
    <w:rsid w:val="00D55CCE"/>
    <w:rsid w:val="00D57738"/>
    <w:rsid w:val="00D60415"/>
    <w:rsid w:val="00D62B50"/>
    <w:rsid w:val="00D6642A"/>
    <w:rsid w:val="00D71BB9"/>
    <w:rsid w:val="00D77E0C"/>
    <w:rsid w:val="00D83E11"/>
    <w:rsid w:val="00D83FBE"/>
    <w:rsid w:val="00D87CA5"/>
    <w:rsid w:val="00D87D0B"/>
    <w:rsid w:val="00D94571"/>
    <w:rsid w:val="00D95839"/>
    <w:rsid w:val="00D97D60"/>
    <w:rsid w:val="00DA1A91"/>
    <w:rsid w:val="00DC3F1B"/>
    <w:rsid w:val="00DC4452"/>
    <w:rsid w:val="00DD10EC"/>
    <w:rsid w:val="00DD3849"/>
    <w:rsid w:val="00DD4F23"/>
    <w:rsid w:val="00DD6FD0"/>
    <w:rsid w:val="00DE0F23"/>
    <w:rsid w:val="00DE632D"/>
    <w:rsid w:val="00DF2E22"/>
    <w:rsid w:val="00DF4394"/>
    <w:rsid w:val="00DF5CC2"/>
    <w:rsid w:val="00E00081"/>
    <w:rsid w:val="00E057C3"/>
    <w:rsid w:val="00E07DA9"/>
    <w:rsid w:val="00E10AE3"/>
    <w:rsid w:val="00E217CA"/>
    <w:rsid w:val="00E35D0A"/>
    <w:rsid w:val="00E424E9"/>
    <w:rsid w:val="00E442F1"/>
    <w:rsid w:val="00E474BE"/>
    <w:rsid w:val="00E47D32"/>
    <w:rsid w:val="00E52BD5"/>
    <w:rsid w:val="00E66A15"/>
    <w:rsid w:val="00E70612"/>
    <w:rsid w:val="00E80448"/>
    <w:rsid w:val="00E820A8"/>
    <w:rsid w:val="00E820D1"/>
    <w:rsid w:val="00E82EED"/>
    <w:rsid w:val="00E9190B"/>
    <w:rsid w:val="00E957FD"/>
    <w:rsid w:val="00E968AF"/>
    <w:rsid w:val="00E97DA8"/>
    <w:rsid w:val="00EA19D0"/>
    <w:rsid w:val="00EA3295"/>
    <w:rsid w:val="00EA3A71"/>
    <w:rsid w:val="00EA682F"/>
    <w:rsid w:val="00EB15B1"/>
    <w:rsid w:val="00EB6008"/>
    <w:rsid w:val="00EB6459"/>
    <w:rsid w:val="00EC5EB9"/>
    <w:rsid w:val="00ED0482"/>
    <w:rsid w:val="00ED19E4"/>
    <w:rsid w:val="00ED2A01"/>
    <w:rsid w:val="00EF1DD7"/>
    <w:rsid w:val="00EF2BEB"/>
    <w:rsid w:val="00F034DE"/>
    <w:rsid w:val="00F07375"/>
    <w:rsid w:val="00F07CF4"/>
    <w:rsid w:val="00F12D5C"/>
    <w:rsid w:val="00F16DCD"/>
    <w:rsid w:val="00F172E3"/>
    <w:rsid w:val="00F27A07"/>
    <w:rsid w:val="00F326C0"/>
    <w:rsid w:val="00F351B0"/>
    <w:rsid w:val="00F377C2"/>
    <w:rsid w:val="00F500EF"/>
    <w:rsid w:val="00F51DFC"/>
    <w:rsid w:val="00F57799"/>
    <w:rsid w:val="00F65511"/>
    <w:rsid w:val="00F7182E"/>
    <w:rsid w:val="00F74632"/>
    <w:rsid w:val="00F77A27"/>
    <w:rsid w:val="00F84BCB"/>
    <w:rsid w:val="00F93933"/>
    <w:rsid w:val="00F93D31"/>
    <w:rsid w:val="00F94085"/>
    <w:rsid w:val="00F94351"/>
    <w:rsid w:val="00F94F4C"/>
    <w:rsid w:val="00F96EF3"/>
    <w:rsid w:val="00F9744F"/>
    <w:rsid w:val="00F976F3"/>
    <w:rsid w:val="00FA661A"/>
    <w:rsid w:val="00FB0F9A"/>
    <w:rsid w:val="00FB6788"/>
    <w:rsid w:val="00FB6828"/>
    <w:rsid w:val="00FB7243"/>
    <w:rsid w:val="00FC2F39"/>
    <w:rsid w:val="00FC4130"/>
    <w:rsid w:val="00FC6FD0"/>
    <w:rsid w:val="00FD1E87"/>
    <w:rsid w:val="00FD4BD1"/>
    <w:rsid w:val="00FE1E78"/>
    <w:rsid w:val="00FE58D9"/>
    <w:rsid w:val="00FE619D"/>
    <w:rsid w:val="00FF77EC"/>
    <w:rsid w:val="01323926"/>
    <w:rsid w:val="01881782"/>
    <w:rsid w:val="01B53822"/>
    <w:rsid w:val="01C34939"/>
    <w:rsid w:val="022E5E6D"/>
    <w:rsid w:val="022F3DD9"/>
    <w:rsid w:val="0284056C"/>
    <w:rsid w:val="03420683"/>
    <w:rsid w:val="034D4E02"/>
    <w:rsid w:val="034D6BB0"/>
    <w:rsid w:val="03522356"/>
    <w:rsid w:val="035717DD"/>
    <w:rsid w:val="0360582C"/>
    <w:rsid w:val="037615D4"/>
    <w:rsid w:val="0398212A"/>
    <w:rsid w:val="03BD228B"/>
    <w:rsid w:val="03F77D2B"/>
    <w:rsid w:val="046A0173"/>
    <w:rsid w:val="047D48B1"/>
    <w:rsid w:val="05B1034F"/>
    <w:rsid w:val="05EA06E6"/>
    <w:rsid w:val="066B7282"/>
    <w:rsid w:val="06F2019A"/>
    <w:rsid w:val="07127318"/>
    <w:rsid w:val="071744C1"/>
    <w:rsid w:val="0748267E"/>
    <w:rsid w:val="07494538"/>
    <w:rsid w:val="07926B92"/>
    <w:rsid w:val="08307946"/>
    <w:rsid w:val="084A74D8"/>
    <w:rsid w:val="08AD2374"/>
    <w:rsid w:val="092710FC"/>
    <w:rsid w:val="09477E43"/>
    <w:rsid w:val="09736C45"/>
    <w:rsid w:val="099B4520"/>
    <w:rsid w:val="099E2E58"/>
    <w:rsid w:val="09E85885"/>
    <w:rsid w:val="09F34213"/>
    <w:rsid w:val="0A177D48"/>
    <w:rsid w:val="0AF142C5"/>
    <w:rsid w:val="0B7373D0"/>
    <w:rsid w:val="0BDC346B"/>
    <w:rsid w:val="0C255AD0"/>
    <w:rsid w:val="0C6531BD"/>
    <w:rsid w:val="0CA77331"/>
    <w:rsid w:val="0D4841C2"/>
    <w:rsid w:val="0DC91529"/>
    <w:rsid w:val="0E0662D9"/>
    <w:rsid w:val="0E2D0B6D"/>
    <w:rsid w:val="0E344BF5"/>
    <w:rsid w:val="0E7E2310"/>
    <w:rsid w:val="0E88682E"/>
    <w:rsid w:val="0EB3012C"/>
    <w:rsid w:val="0EFC7C6E"/>
    <w:rsid w:val="0F024CF3"/>
    <w:rsid w:val="0F0D30CC"/>
    <w:rsid w:val="0F31382A"/>
    <w:rsid w:val="0F4B1F59"/>
    <w:rsid w:val="0F4F58B3"/>
    <w:rsid w:val="0FB33A5C"/>
    <w:rsid w:val="0FF273D5"/>
    <w:rsid w:val="10640774"/>
    <w:rsid w:val="11032FA4"/>
    <w:rsid w:val="11F67B0B"/>
    <w:rsid w:val="11FA178A"/>
    <w:rsid w:val="12062D4C"/>
    <w:rsid w:val="12413DFD"/>
    <w:rsid w:val="12453C02"/>
    <w:rsid w:val="127A436A"/>
    <w:rsid w:val="12C33317"/>
    <w:rsid w:val="131D4475"/>
    <w:rsid w:val="13201BEB"/>
    <w:rsid w:val="13274F64"/>
    <w:rsid w:val="13332E16"/>
    <w:rsid w:val="13733DDB"/>
    <w:rsid w:val="138C6E77"/>
    <w:rsid w:val="1406182E"/>
    <w:rsid w:val="14264531"/>
    <w:rsid w:val="148F40C2"/>
    <w:rsid w:val="149F65BB"/>
    <w:rsid w:val="14A12E27"/>
    <w:rsid w:val="14B27262"/>
    <w:rsid w:val="14EC447B"/>
    <w:rsid w:val="1585667E"/>
    <w:rsid w:val="159B5499"/>
    <w:rsid w:val="15CD7226"/>
    <w:rsid w:val="15F46E99"/>
    <w:rsid w:val="16013F56"/>
    <w:rsid w:val="16353C00"/>
    <w:rsid w:val="164976AB"/>
    <w:rsid w:val="16685D83"/>
    <w:rsid w:val="16D43419"/>
    <w:rsid w:val="17373A00"/>
    <w:rsid w:val="17966C03"/>
    <w:rsid w:val="17E551B2"/>
    <w:rsid w:val="1816180F"/>
    <w:rsid w:val="1830015E"/>
    <w:rsid w:val="18550589"/>
    <w:rsid w:val="18C96881"/>
    <w:rsid w:val="1945415A"/>
    <w:rsid w:val="196B50DB"/>
    <w:rsid w:val="199C0D40"/>
    <w:rsid w:val="19CE3B68"/>
    <w:rsid w:val="1A0F4D2C"/>
    <w:rsid w:val="1AC83294"/>
    <w:rsid w:val="1B0F0EC3"/>
    <w:rsid w:val="1B4C3F58"/>
    <w:rsid w:val="1B953BF9"/>
    <w:rsid w:val="1BD062F6"/>
    <w:rsid w:val="1C1A313F"/>
    <w:rsid w:val="1C47468D"/>
    <w:rsid w:val="1C505B53"/>
    <w:rsid w:val="1C98760D"/>
    <w:rsid w:val="1CA96A4D"/>
    <w:rsid w:val="1D1D451F"/>
    <w:rsid w:val="1D28348F"/>
    <w:rsid w:val="1D425418"/>
    <w:rsid w:val="1DAF2EE3"/>
    <w:rsid w:val="1DD4462B"/>
    <w:rsid w:val="1DFB128B"/>
    <w:rsid w:val="1E2902A2"/>
    <w:rsid w:val="1E4240E9"/>
    <w:rsid w:val="1E990AA4"/>
    <w:rsid w:val="1E9A0540"/>
    <w:rsid w:val="1EAF6853"/>
    <w:rsid w:val="1EB83620"/>
    <w:rsid w:val="1EBA1DEA"/>
    <w:rsid w:val="1EC83FE3"/>
    <w:rsid w:val="1F0252E5"/>
    <w:rsid w:val="1F130856"/>
    <w:rsid w:val="1F3E7457"/>
    <w:rsid w:val="1F686DF4"/>
    <w:rsid w:val="1FA754DC"/>
    <w:rsid w:val="1FBC4DE6"/>
    <w:rsid w:val="1FF0287B"/>
    <w:rsid w:val="20086DA3"/>
    <w:rsid w:val="200C3C23"/>
    <w:rsid w:val="20C42E60"/>
    <w:rsid w:val="21073821"/>
    <w:rsid w:val="2115493E"/>
    <w:rsid w:val="21966141"/>
    <w:rsid w:val="21B75530"/>
    <w:rsid w:val="223633BF"/>
    <w:rsid w:val="22400062"/>
    <w:rsid w:val="22465C8A"/>
    <w:rsid w:val="225F3847"/>
    <w:rsid w:val="22A75E85"/>
    <w:rsid w:val="22CA3922"/>
    <w:rsid w:val="22CB16A6"/>
    <w:rsid w:val="22DD3655"/>
    <w:rsid w:val="22F24891"/>
    <w:rsid w:val="23AC639B"/>
    <w:rsid w:val="23FE3883"/>
    <w:rsid w:val="24364573"/>
    <w:rsid w:val="25060BA1"/>
    <w:rsid w:val="251D71DB"/>
    <w:rsid w:val="25513E86"/>
    <w:rsid w:val="25771D67"/>
    <w:rsid w:val="25A92D52"/>
    <w:rsid w:val="27304D94"/>
    <w:rsid w:val="27507D85"/>
    <w:rsid w:val="27A83832"/>
    <w:rsid w:val="27D112AE"/>
    <w:rsid w:val="27D9717D"/>
    <w:rsid w:val="27EB6814"/>
    <w:rsid w:val="286659BF"/>
    <w:rsid w:val="289A5B44"/>
    <w:rsid w:val="28A135E6"/>
    <w:rsid w:val="28CE7DDA"/>
    <w:rsid w:val="290870F3"/>
    <w:rsid w:val="292A4805"/>
    <w:rsid w:val="292D1C8C"/>
    <w:rsid w:val="29946A38"/>
    <w:rsid w:val="29A202DA"/>
    <w:rsid w:val="29AF52FA"/>
    <w:rsid w:val="29CE0573"/>
    <w:rsid w:val="29FB6D05"/>
    <w:rsid w:val="2AAD6003"/>
    <w:rsid w:val="2B73432E"/>
    <w:rsid w:val="2B916318"/>
    <w:rsid w:val="2BCF633B"/>
    <w:rsid w:val="2C041EC8"/>
    <w:rsid w:val="2C510660"/>
    <w:rsid w:val="2C9947F8"/>
    <w:rsid w:val="2CA62D0A"/>
    <w:rsid w:val="2D101ECF"/>
    <w:rsid w:val="2D10443B"/>
    <w:rsid w:val="2D157E8F"/>
    <w:rsid w:val="2D4F33A1"/>
    <w:rsid w:val="2D776C8E"/>
    <w:rsid w:val="2D8B220A"/>
    <w:rsid w:val="2DCA35E9"/>
    <w:rsid w:val="2E0E6AD9"/>
    <w:rsid w:val="2F5B1331"/>
    <w:rsid w:val="2F754C15"/>
    <w:rsid w:val="2F7E6FC2"/>
    <w:rsid w:val="2FE518D2"/>
    <w:rsid w:val="300D04E6"/>
    <w:rsid w:val="30393E95"/>
    <w:rsid w:val="304821C7"/>
    <w:rsid w:val="313F372D"/>
    <w:rsid w:val="32211701"/>
    <w:rsid w:val="326D1CBA"/>
    <w:rsid w:val="32F22F87"/>
    <w:rsid w:val="3301513E"/>
    <w:rsid w:val="330B1CC5"/>
    <w:rsid w:val="337C18E2"/>
    <w:rsid w:val="339315B6"/>
    <w:rsid w:val="33AF76D5"/>
    <w:rsid w:val="34302DE0"/>
    <w:rsid w:val="34743535"/>
    <w:rsid w:val="34A0257B"/>
    <w:rsid w:val="352549E8"/>
    <w:rsid w:val="35FA5E74"/>
    <w:rsid w:val="36600B09"/>
    <w:rsid w:val="36707142"/>
    <w:rsid w:val="368C2F70"/>
    <w:rsid w:val="36A55DE0"/>
    <w:rsid w:val="36F3056E"/>
    <w:rsid w:val="36F40B16"/>
    <w:rsid w:val="370635D5"/>
    <w:rsid w:val="37C761AD"/>
    <w:rsid w:val="37CD3E53"/>
    <w:rsid w:val="38450808"/>
    <w:rsid w:val="385B0E4C"/>
    <w:rsid w:val="386A586E"/>
    <w:rsid w:val="38F8669B"/>
    <w:rsid w:val="39E478B4"/>
    <w:rsid w:val="39E87E9F"/>
    <w:rsid w:val="3A5214D0"/>
    <w:rsid w:val="3B251BE5"/>
    <w:rsid w:val="3B6E3F66"/>
    <w:rsid w:val="3BE70822"/>
    <w:rsid w:val="3C733841"/>
    <w:rsid w:val="3C9B6939"/>
    <w:rsid w:val="3CB46144"/>
    <w:rsid w:val="3D321D80"/>
    <w:rsid w:val="3D8847B4"/>
    <w:rsid w:val="3DE66E9A"/>
    <w:rsid w:val="3DEB0EC4"/>
    <w:rsid w:val="3E7D7EE3"/>
    <w:rsid w:val="3EA7044A"/>
    <w:rsid w:val="3EC47350"/>
    <w:rsid w:val="3F7A6F51"/>
    <w:rsid w:val="3F9D61EE"/>
    <w:rsid w:val="3FA330D9"/>
    <w:rsid w:val="4015092F"/>
    <w:rsid w:val="407F58F4"/>
    <w:rsid w:val="40FE34AB"/>
    <w:rsid w:val="41276AD5"/>
    <w:rsid w:val="41C50675"/>
    <w:rsid w:val="42051E29"/>
    <w:rsid w:val="42BA70B7"/>
    <w:rsid w:val="42FB4E6F"/>
    <w:rsid w:val="4351685F"/>
    <w:rsid w:val="43E551C3"/>
    <w:rsid w:val="449A0F4E"/>
    <w:rsid w:val="44B10046"/>
    <w:rsid w:val="44BD2CE3"/>
    <w:rsid w:val="44F02312"/>
    <w:rsid w:val="452D1DC2"/>
    <w:rsid w:val="45BA0417"/>
    <w:rsid w:val="45D3591D"/>
    <w:rsid w:val="45DE1B4C"/>
    <w:rsid w:val="464173F3"/>
    <w:rsid w:val="46935C55"/>
    <w:rsid w:val="47262F6D"/>
    <w:rsid w:val="476C6808"/>
    <w:rsid w:val="47743B69"/>
    <w:rsid w:val="47973A42"/>
    <w:rsid w:val="47B3600D"/>
    <w:rsid w:val="48120E9F"/>
    <w:rsid w:val="4849563F"/>
    <w:rsid w:val="485371E2"/>
    <w:rsid w:val="48537D92"/>
    <w:rsid w:val="486B7371"/>
    <w:rsid w:val="48F65D82"/>
    <w:rsid w:val="48FA3D14"/>
    <w:rsid w:val="48FE2CDC"/>
    <w:rsid w:val="491B7A5E"/>
    <w:rsid w:val="495B3E2E"/>
    <w:rsid w:val="49795404"/>
    <w:rsid w:val="49C448E8"/>
    <w:rsid w:val="49EE63DB"/>
    <w:rsid w:val="49F71F35"/>
    <w:rsid w:val="4A164D6C"/>
    <w:rsid w:val="4A190E95"/>
    <w:rsid w:val="4A2716AE"/>
    <w:rsid w:val="4A791BAD"/>
    <w:rsid w:val="4A7A0125"/>
    <w:rsid w:val="4A893717"/>
    <w:rsid w:val="4AAE7E59"/>
    <w:rsid w:val="4B5B30B8"/>
    <w:rsid w:val="4B7C13AE"/>
    <w:rsid w:val="4B911B6E"/>
    <w:rsid w:val="4B9B709A"/>
    <w:rsid w:val="4BD9235C"/>
    <w:rsid w:val="4BEE1D49"/>
    <w:rsid w:val="4C1C049B"/>
    <w:rsid w:val="4C1E229E"/>
    <w:rsid w:val="4CCE3E8B"/>
    <w:rsid w:val="4D8D11E7"/>
    <w:rsid w:val="4D9549A9"/>
    <w:rsid w:val="4DB43081"/>
    <w:rsid w:val="4DDC6134"/>
    <w:rsid w:val="4E2E5C98"/>
    <w:rsid w:val="4E451F2B"/>
    <w:rsid w:val="4EA93926"/>
    <w:rsid w:val="4EFB4CDF"/>
    <w:rsid w:val="4F1610DE"/>
    <w:rsid w:val="4FB8672C"/>
    <w:rsid w:val="4FEF2C84"/>
    <w:rsid w:val="500E597D"/>
    <w:rsid w:val="501C315F"/>
    <w:rsid w:val="501D3A24"/>
    <w:rsid w:val="502224B3"/>
    <w:rsid w:val="50281B04"/>
    <w:rsid w:val="50D47596"/>
    <w:rsid w:val="515D338B"/>
    <w:rsid w:val="5171421D"/>
    <w:rsid w:val="519622E0"/>
    <w:rsid w:val="525D7E4A"/>
    <w:rsid w:val="530C74BB"/>
    <w:rsid w:val="531934BC"/>
    <w:rsid w:val="544347E4"/>
    <w:rsid w:val="544F3B03"/>
    <w:rsid w:val="545F7A55"/>
    <w:rsid w:val="54684787"/>
    <w:rsid w:val="54C619FF"/>
    <w:rsid w:val="54E760E0"/>
    <w:rsid w:val="550B626D"/>
    <w:rsid w:val="55A325CC"/>
    <w:rsid w:val="55D927F0"/>
    <w:rsid w:val="565704F6"/>
    <w:rsid w:val="566A4125"/>
    <w:rsid w:val="56DD35C9"/>
    <w:rsid w:val="56F25990"/>
    <w:rsid w:val="57012BCC"/>
    <w:rsid w:val="572052E3"/>
    <w:rsid w:val="578F1872"/>
    <w:rsid w:val="58030761"/>
    <w:rsid w:val="59525F03"/>
    <w:rsid w:val="596F2552"/>
    <w:rsid w:val="59841DE0"/>
    <w:rsid w:val="59C0604D"/>
    <w:rsid w:val="59D46859"/>
    <w:rsid w:val="5A0C6E42"/>
    <w:rsid w:val="5A7B7B92"/>
    <w:rsid w:val="5AD80991"/>
    <w:rsid w:val="5ADC7773"/>
    <w:rsid w:val="5AE64A95"/>
    <w:rsid w:val="5B3A6B5C"/>
    <w:rsid w:val="5BC03170"/>
    <w:rsid w:val="5C142F3C"/>
    <w:rsid w:val="5C5129B6"/>
    <w:rsid w:val="5C9119E0"/>
    <w:rsid w:val="5CB5105B"/>
    <w:rsid w:val="5CD5091E"/>
    <w:rsid w:val="5CE33AD6"/>
    <w:rsid w:val="5CFC0CD6"/>
    <w:rsid w:val="5D5D4117"/>
    <w:rsid w:val="5D6A3CB1"/>
    <w:rsid w:val="5E0E4115"/>
    <w:rsid w:val="5E4775F9"/>
    <w:rsid w:val="5F182D44"/>
    <w:rsid w:val="5FBC5DC5"/>
    <w:rsid w:val="5FBF7663"/>
    <w:rsid w:val="5FCA136C"/>
    <w:rsid w:val="602776E2"/>
    <w:rsid w:val="609D7C06"/>
    <w:rsid w:val="61367EA1"/>
    <w:rsid w:val="613A58B3"/>
    <w:rsid w:val="617F70AA"/>
    <w:rsid w:val="61D76EE6"/>
    <w:rsid w:val="61DE64C6"/>
    <w:rsid w:val="623D631B"/>
    <w:rsid w:val="624F0D49"/>
    <w:rsid w:val="625C13E7"/>
    <w:rsid w:val="62984D49"/>
    <w:rsid w:val="62EA0E9B"/>
    <w:rsid w:val="63B4491F"/>
    <w:rsid w:val="63CE60C7"/>
    <w:rsid w:val="63E76AD5"/>
    <w:rsid w:val="64040480"/>
    <w:rsid w:val="644E25E0"/>
    <w:rsid w:val="6478437F"/>
    <w:rsid w:val="64835103"/>
    <w:rsid w:val="6489157D"/>
    <w:rsid w:val="64992B79"/>
    <w:rsid w:val="64CB0C17"/>
    <w:rsid w:val="64FA3254"/>
    <w:rsid w:val="654262B1"/>
    <w:rsid w:val="6578453C"/>
    <w:rsid w:val="662B5D60"/>
    <w:rsid w:val="665C20B0"/>
    <w:rsid w:val="668478F0"/>
    <w:rsid w:val="66CC2D91"/>
    <w:rsid w:val="672238FE"/>
    <w:rsid w:val="672F3320"/>
    <w:rsid w:val="674212A6"/>
    <w:rsid w:val="67801DCE"/>
    <w:rsid w:val="68294213"/>
    <w:rsid w:val="68383200"/>
    <w:rsid w:val="6844104D"/>
    <w:rsid w:val="687E2E56"/>
    <w:rsid w:val="68EE5E8F"/>
    <w:rsid w:val="691941E0"/>
    <w:rsid w:val="69885749"/>
    <w:rsid w:val="699C7C34"/>
    <w:rsid w:val="6A6B2CDD"/>
    <w:rsid w:val="6B16634D"/>
    <w:rsid w:val="6B376C47"/>
    <w:rsid w:val="6BC767D5"/>
    <w:rsid w:val="6BCC5DFD"/>
    <w:rsid w:val="6BF15048"/>
    <w:rsid w:val="6E867CCA"/>
    <w:rsid w:val="6F0A08FB"/>
    <w:rsid w:val="703219A0"/>
    <w:rsid w:val="703B27AF"/>
    <w:rsid w:val="70820965"/>
    <w:rsid w:val="70BB1D85"/>
    <w:rsid w:val="71090640"/>
    <w:rsid w:val="716770DC"/>
    <w:rsid w:val="71EC5F2E"/>
    <w:rsid w:val="71F15DA2"/>
    <w:rsid w:val="721F5A7B"/>
    <w:rsid w:val="72440A97"/>
    <w:rsid w:val="726E73F3"/>
    <w:rsid w:val="7279110F"/>
    <w:rsid w:val="7306762B"/>
    <w:rsid w:val="732D698C"/>
    <w:rsid w:val="733F6699"/>
    <w:rsid w:val="73504D4A"/>
    <w:rsid w:val="73950233"/>
    <w:rsid w:val="73E159A2"/>
    <w:rsid w:val="747D391D"/>
    <w:rsid w:val="74F31E31"/>
    <w:rsid w:val="7504089A"/>
    <w:rsid w:val="750E2C8A"/>
    <w:rsid w:val="75381A33"/>
    <w:rsid w:val="755E374E"/>
    <w:rsid w:val="757E664F"/>
    <w:rsid w:val="75937C18"/>
    <w:rsid w:val="75D8338F"/>
    <w:rsid w:val="763D6B0C"/>
    <w:rsid w:val="766905FD"/>
    <w:rsid w:val="76740D50"/>
    <w:rsid w:val="76BA0029"/>
    <w:rsid w:val="76D3507A"/>
    <w:rsid w:val="76EA1012"/>
    <w:rsid w:val="76F0487A"/>
    <w:rsid w:val="773109EF"/>
    <w:rsid w:val="77586705"/>
    <w:rsid w:val="77651323"/>
    <w:rsid w:val="77684FE2"/>
    <w:rsid w:val="779B549C"/>
    <w:rsid w:val="77F24622"/>
    <w:rsid w:val="77F519BD"/>
    <w:rsid w:val="782F0AB1"/>
    <w:rsid w:val="78637FC4"/>
    <w:rsid w:val="787C71F7"/>
    <w:rsid w:val="788A6608"/>
    <w:rsid w:val="78B139DF"/>
    <w:rsid w:val="78DB6E64"/>
    <w:rsid w:val="78DE2E63"/>
    <w:rsid w:val="78F36837"/>
    <w:rsid w:val="794627CA"/>
    <w:rsid w:val="795E7593"/>
    <w:rsid w:val="79766B8D"/>
    <w:rsid w:val="79A93D49"/>
    <w:rsid w:val="79AD5805"/>
    <w:rsid w:val="79BD47BC"/>
    <w:rsid w:val="79C478F8"/>
    <w:rsid w:val="7A7C6772"/>
    <w:rsid w:val="7B00675D"/>
    <w:rsid w:val="7B160627"/>
    <w:rsid w:val="7B554E22"/>
    <w:rsid w:val="7BDE61A2"/>
    <w:rsid w:val="7C1463F8"/>
    <w:rsid w:val="7C482A62"/>
    <w:rsid w:val="7CC55164"/>
    <w:rsid w:val="7CD107B6"/>
    <w:rsid w:val="7CF5040F"/>
    <w:rsid w:val="7D0D15B6"/>
    <w:rsid w:val="7D1171EC"/>
    <w:rsid w:val="7D1E5438"/>
    <w:rsid w:val="7D3B4375"/>
    <w:rsid w:val="7D8A7232"/>
    <w:rsid w:val="7DBF6D54"/>
    <w:rsid w:val="7DD673A5"/>
    <w:rsid w:val="7E1075B0"/>
    <w:rsid w:val="7EA40494"/>
    <w:rsid w:val="7EA61409"/>
    <w:rsid w:val="7EBE700C"/>
    <w:rsid w:val="7EEF3669"/>
    <w:rsid w:val="7F207DB3"/>
    <w:rsid w:val="7F2843DB"/>
    <w:rsid w:val="7F2A3D79"/>
    <w:rsid w:val="7F3D48A7"/>
    <w:rsid w:val="7F6F6558"/>
    <w:rsid w:val="7F79118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99"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uiPriority="99" w:name="HTML Keyboard"/>
    <w:lsdException w:qFormat="1" w:unhideWhenUsed="0" w:uiPriority="0" w:semiHidden="0" w:name="HTML Preformatted"/>
    <w:lsdException w:uiPriority="99" w:name="HTML Sample"/>
    <w:lsdException w:uiPriority="99" w:name="HTML Typewriter"/>
    <w:lsdException w:qFormat="1" w:uiPriority="99" w:semiHidden="0"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宋体" w:hAnsi="等线" w:eastAsia="等线" w:cs="等线"/>
      <w:sz w:val="34"/>
      <w:lang w:val="en-US" w:eastAsia="zh-CN" w:bidi="ar-SA"/>
    </w:rPr>
  </w:style>
  <w:style w:type="paragraph" w:styleId="3">
    <w:name w:val="heading 1"/>
    <w:basedOn w:val="1"/>
    <w:next w:val="1"/>
    <w:link w:val="46"/>
    <w:qFormat/>
    <w:uiPriority w:val="0"/>
    <w:pPr>
      <w:keepNext/>
      <w:keepLines/>
      <w:spacing w:before="340" w:after="330" w:line="576" w:lineRule="auto"/>
      <w:outlineLvl w:val="0"/>
    </w:pPr>
    <w:rPr>
      <w:b/>
      <w:bCs/>
      <w:kern w:val="44"/>
      <w:sz w:val="44"/>
      <w:szCs w:val="44"/>
    </w:rPr>
  </w:style>
  <w:style w:type="paragraph" w:styleId="4">
    <w:name w:val="heading 2"/>
    <w:basedOn w:val="1"/>
    <w:next w:val="1"/>
    <w:link w:val="47"/>
    <w:qFormat/>
    <w:uiPriority w:val="0"/>
    <w:pPr>
      <w:keepNext/>
      <w:keepLines/>
      <w:spacing w:before="260" w:after="260" w:line="500" w:lineRule="exact"/>
      <w:outlineLvl w:val="1"/>
    </w:pPr>
    <w:rPr>
      <w:rFonts w:ascii="Arial" w:hAnsi="Arial" w:eastAsia="黑体"/>
      <w:b/>
      <w:kern w:val="2"/>
      <w:sz w:val="28"/>
    </w:rPr>
  </w:style>
  <w:style w:type="paragraph" w:styleId="5">
    <w:name w:val="heading 3"/>
    <w:basedOn w:val="1"/>
    <w:next w:val="1"/>
    <w:link w:val="48"/>
    <w:qFormat/>
    <w:uiPriority w:val="0"/>
    <w:pPr>
      <w:keepNext/>
      <w:keepLines/>
      <w:spacing w:before="260" w:after="260" w:line="413" w:lineRule="auto"/>
      <w:outlineLvl w:val="2"/>
    </w:pPr>
    <w:rPr>
      <w:rFonts w:ascii="Times New Roman"/>
      <w:b/>
      <w:kern w:val="2"/>
      <w:sz w:val="24"/>
    </w:rPr>
  </w:style>
  <w:style w:type="paragraph" w:styleId="6">
    <w:name w:val="heading 4"/>
    <w:basedOn w:val="1"/>
    <w:next w:val="1"/>
    <w:link w:val="49"/>
    <w:qFormat/>
    <w:uiPriority w:val="0"/>
    <w:pPr>
      <w:keepNext/>
      <w:keepLines/>
      <w:spacing w:before="280" w:after="290" w:line="376" w:lineRule="auto"/>
      <w:outlineLvl w:val="3"/>
    </w:pPr>
    <w:rPr>
      <w:rFonts w:ascii="Cambria" w:hAnsi="Cambria"/>
      <w:b/>
      <w:bCs/>
      <w:kern w:val="2"/>
      <w:sz w:val="28"/>
      <w:szCs w:val="28"/>
    </w:rPr>
  </w:style>
  <w:style w:type="character" w:default="1" w:styleId="33">
    <w:name w:val="Default Paragraph Font"/>
    <w:semiHidden/>
    <w:unhideWhenUsed/>
    <w:qFormat/>
    <w:uiPriority w:val="1"/>
  </w:style>
  <w:style w:type="table" w:default="1" w:styleId="31">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51"/>
    <w:unhideWhenUsed/>
    <w:qFormat/>
    <w:uiPriority w:val="0"/>
    <w:pPr>
      <w:spacing w:after="120" w:line="240" w:lineRule="auto"/>
      <w:ind w:firstLine="0" w:firstLineChars="0"/>
    </w:pPr>
    <w:rPr>
      <w:rFonts w:ascii="Times New Roman"/>
      <w:kern w:val="2"/>
      <w:sz w:val="21"/>
      <w:szCs w:val="24"/>
    </w:rPr>
  </w:style>
  <w:style w:type="paragraph" w:styleId="7">
    <w:name w:val="toc 7"/>
    <w:basedOn w:val="1"/>
    <w:next w:val="1"/>
    <w:unhideWhenUsed/>
    <w:qFormat/>
    <w:uiPriority w:val="39"/>
    <w:pPr>
      <w:spacing w:line="240" w:lineRule="auto"/>
      <w:ind w:left="2520" w:leftChars="1200" w:firstLine="0" w:firstLineChars="0"/>
    </w:pPr>
    <w:rPr>
      <w:rFonts w:ascii="Calibri" w:hAnsi="Calibri" w:eastAsia="宋体" w:cs="Times New Roman"/>
      <w:kern w:val="2"/>
      <w:sz w:val="21"/>
      <w:szCs w:val="22"/>
    </w:rPr>
  </w:style>
  <w:style w:type="paragraph" w:styleId="8">
    <w:name w:val="Normal Indent"/>
    <w:basedOn w:val="1"/>
    <w:next w:val="9"/>
    <w:link w:val="64"/>
    <w:qFormat/>
    <w:uiPriority w:val="0"/>
    <w:pPr>
      <w:ind w:firstLine="420"/>
    </w:pPr>
    <w:rPr>
      <w:rFonts w:ascii="Times New Roman"/>
      <w:kern w:val="2"/>
      <w:sz w:val="21"/>
    </w:rPr>
  </w:style>
  <w:style w:type="paragraph" w:styleId="9">
    <w:name w:val="Plain Text"/>
    <w:basedOn w:val="1"/>
    <w:link w:val="54"/>
    <w:qFormat/>
    <w:uiPriority w:val="0"/>
    <w:rPr>
      <w:rFonts w:hAnsi="Courier New"/>
      <w:kern w:val="2"/>
      <w:sz w:val="21"/>
    </w:rPr>
  </w:style>
  <w:style w:type="paragraph" w:styleId="10">
    <w:name w:val="annotation text"/>
    <w:basedOn w:val="1"/>
    <w:link w:val="50"/>
    <w:unhideWhenUsed/>
    <w:qFormat/>
    <w:uiPriority w:val="99"/>
    <w:pPr>
      <w:jc w:val="left"/>
    </w:pPr>
  </w:style>
  <w:style w:type="paragraph" w:styleId="11">
    <w:name w:val="Body Text Indent"/>
    <w:basedOn w:val="1"/>
    <w:link w:val="53"/>
    <w:qFormat/>
    <w:uiPriority w:val="0"/>
    <w:pPr>
      <w:ind w:firstLine="630"/>
    </w:pPr>
    <w:rPr>
      <w:sz w:val="32"/>
    </w:rPr>
  </w:style>
  <w:style w:type="paragraph" w:styleId="12">
    <w:name w:val="toc 5"/>
    <w:basedOn w:val="1"/>
    <w:next w:val="1"/>
    <w:unhideWhenUsed/>
    <w:qFormat/>
    <w:uiPriority w:val="39"/>
    <w:pPr>
      <w:spacing w:line="240" w:lineRule="auto"/>
      <w:ind w:left="1680" w:leftChars="800" w:firstLine="0" w:firstLineChars="0"/>
    </w:pPr>
    <w:rPr>
      <w:rFonts w:ascii="Calibri" w:hAnsi="Calibri" w:eastAsia="宋体" w:cs="Times New Roman"/>
      <w:kern w:val="2"/>
      <w:sz w:val="21"/>
      <w:szCs w:val="22"/>
    </w:rPr>
  </w:style>
  <w:style w:type="paragraph" w:styleId="13">
    <w:name w:val="toc 3"/>
    <w:basedOn w:val="1"/>
    <w:next w:val="1"/>
    <w:qFormat/>
    <w:uiPriority w:val="39"/>
    <w:pPr>
      <w:ind w:left="420"/>
      <w:jc w:val="left"/>
    </w:pPr>
    <w:rPr>
      <w:rFonts w:ascii="Calibri" w:hAnsi="Calibri"/>
      <w:i/>
      <w:iCs/>
      <w:sz w:val="20"/>
    </w:rPr>
  </w:style>
  <w:style w:type="paragraph" w:styleId="14">
    <w:name w:val="toc 8"/>
    <w:basedOn w:val="1"/>
    <w:next w:val="1"/>
    <w:unhideWhenUsed/>
    <w:qFormat/>
    <w:uiPriority w:val="39"/>
    <w:pPr>
      <w:spacing w:line="240" w:lineRule="auto"/>
      <w:ind w:left="2940" w:leftChars="1400" w:firstLine="0" w:firstLineChars="0"/>
    </w:pPr>
    <w:rPr>
      <w:rFonts w:ascii="Calibri" w:hAnsi="Calibri" w:eastAsia="宋体" w:cs="Times New Roman"/>
      <w:kern w:val="2"/>
      <w:sz w:val="21"/>
      <w:szCs w:val="22"/>
    </w:rPr>
  </w:style>
  <w:style w:type="paragraph" w:styleId="15">
    <w:name w:val="Body Text Indent 2"/>
    <w:basedOn w:val="1"/>
    <w:link w:val="55"/>
    <w:qFormat/>
    <w:uiPriority w:val="0"/>
    <w:pPr>
      <w:ind w:firstLine="630"/>
    </w:pPr>
    <w:rPr>
      <w:rFonts w:ascii="Times New Roman"/>
      <w:kern w:val="2"/>
      <w:sz w:val="32"/>
    </w:rPr>
  </w:style>
  <w:style w:type="paragraph" w:styleId="16">
    <w:name w:val="Balloon Text"/>
    <w:basedOn w:val="1"/>
    <w:link w:val="56"/>
    <w:unhideWhenUsed/>
    <w:qFormat/>
    <w:uiPriority w:val="99"/>
    <w:pPr>
      <w:spacing w:line="240" w:lineRule="auto"/>
    </w:pPr>
    <w:rPr>
      <w:sz w:val="18"/>
      <w:szCs w:val="18"/>
    </w:rPr>
  </w:style>
  <w:style w:type="paragraph" w:styleId="17">
    <w:name w:val="footer"/>
    <w:basedOn w:val="1"/>
    <w:link w:val="57"/>
    <w:qFormat/>
    <w:uiPriority w:val="99"/>
    <w:pPr>
      <w:tabs>
        <w:tab w:val="center" w:pos="4153"/>
        <w:tab w:val="right" w:pos="8306"/>
      </w:tabs>
      <w:snapToGrid w:val="0"/>
      <w:jc w:val="left"/>
    </w:pPr>
    <w:rPr>
      <w:rFonts w:ascii="Times New Roman"/>
      <w:kern w:val="2"/>
      <w:sz w:val="18"/>
      <w:szCs w:val="18"/>
    </w:rPr>
  </w:style>
  <w:style w:type="paragraph" w:styleId="18">
    <w:name w:val="header"/>
    <w:basedOn w:val="1"/>
    <w:link w:val="65"/>
    <w:qFormat/>
    <w:uiPriority w:val="0"/>
    <w:pPr>
      <w:pBdr>
        <w:bottom w:val="single" w:color="auto" w:sz="6" w:space="1"/>
      </w:pBdr>
      <w:tabs>
        <w:tab w:val="center" w:pos="4153"/>
        <w:tab w:val="right" w:pos="8306"/>
      </w:tabs>
      <w:snapToGrid w:val="0"/>
      <w:jc w:val="center"/>
    </w:pPr>
    <w:rPr>
      <w:rFonts w:ascii="Times New Roman"/>
      <w:kern w:val="2"/>
      <w:sz w:val="18"/>
    </w:rPr>
  </w:style>
  <w:style w:type="paragraph" w:styleId="19">
    <w:name w:val="toc 1"/>
    <w:basedOn w:val="1"/>
    <w:next w:val="1"/>
    <w:unhideWhenUsed/>
    <w:qFormat/>
    <w:uiPriority w:val="39"/>
    <w:pPr>
      <w:tabs>
        <w:tab w:val="right" w:leader="dot" w:pos="8296"/>
      </w:tabs>
      <w:spacing w:before="120" w:after="120"/>
      <w:jc w:val="center"/>
    </w:pPr>
    <w:rPr>
      <w:b/>
      <w:bCs/>
      <w:caps/>
      <w:sz w:val="20"/>
    </w:rPr>
  </w:style>
  <w:style w:type="paragraph" w:styleId="20">
    <w:name w:val="toc 4"/>
    <w:basedOn w:val="1"/>
    <w:next w:val="1"/>
    <w:unhideWhenUsed/>
    <w:qFormat/>
    <w:uiPriority w:val="39"/>
    <w:pPr>
      <w:spacing w:line="240" w:lineRule="auto"/>
      <w:ind w:left="1260" w:leftChars="600" w:firstLine="0" w:firstLineChars="0"/>
    </w:pPr>
    <w:rPr>
      <w:rFonts w:ascii="Calibri" w:hAnsi="Calibri" w:eastAsia="宋体" w:cs="Times New Roman"/>
      <w:kern w:val="2"/>
      <w:sz w:val="21"/>
      <w:szCs w:val="22"/>
    </w:rPr>
  </w:style>
  <w:style w:type="paragraph" w:styleId="21">
    <w:name w:val="Subtitle"/>
    <w:basedOn w:val="1"/>
    <w:next w:val="1"/>
    <w:link w:val="59"/>
    <w:qFormat/>
    <w:uiPriority w:val="11"/>
    <w:pPr>
      <w:spacing w:before="240" w:after="60" w:line="312" w:lineRule="auto"/>
      <w:jc w:val="center"/>
      <w:outlineLvl w:val="1"/>
    </w:pPr>
    <w:rPr>
      <w:rFonts w:ascii="Cambria" w:hAnsi="Cambria"/>
      <w:b/>
      <w:bCs/>
      <w:kern w:val="28"/>
      <w:sz w:val="32"/>
      <w:szCs w:val="32"/>
    </w:rPr>
  </w:style>
  <w:style w:type="paragraph" w:styleId="22">
    <w:name w:val="toc 6"/>
    <w:basedOn w:val="1"/>
    <w:next w:val="1"/>
    <w:unhideWhenUsed/>
    <w:qFormat/>
    <w:uiPriority w:val="39"/>
    <w:pPr>
      <w:spacing w:line="240" w:lineRule="auto"/>
      <w:ind w:left="2100" w:leftChars="1000" w:firstLine="0" w:firstLineChars="0"/>
    </w:pPr>
    <w:rPr>
      <w:rFonts w:ascii="Calibri" w:hAnsi="Calibri" w:eastAsia="宋体" w:cs="Times New Roman"/>
      <w:kern w:val="2"/>
      <w:sz w:val="21"/>
      <w:szCs w:val="22"/>
    </w:rPr>
  </w:style>
  <w:style w:type="paragraph" w:styleId="23">
    <w:name w:val="toc 2"/>
    <w:basedOn w:val="1"/>
    <w:next w:val="1"/>
    <w:qFormat/>
    <w:uiPriority w:val="39"/>
    <w:pPr>
      <w:ind w:left="420" w:leftChars="200"/>
    </w:pPr>
  </w:style>
  <w:style w:type="paragraph" w:styleId="24">
    <w:name w:val="toc 9"/>
    <w:basedOn w:val="1"/>
    <w:next w:val="1"/>
    <w:unhideWhenUsed/>
    <w:qFormat/>
    <w:uiPriority w:val="39"/>
    <w:pPr>
      <w:spacing w:line="240" w:lineRule="auto"/>
      <w:ind w:left="3360" w:leftChars="1600" w:firstLine="0" w:firstLineChars="0"/>
    </w:pPr>
    <w:rPr>
      <w:rFonts w:ascii="Calibri" w:hAnsi="Calibri" w:eastAsia="宋体" w:cs="Times New Roman"/>
      <w:kern w:val="2"/>
      <w:sz w:val="21"/>
      <w:szCs w:val="22"/>
    </w:rPr>
  </w:style>
  <w:style w:type="paragraph" w:styleId="2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26">
    <w:name w:val="Normal (Web)"/>
    <w:basedOn w:val="1"/>
    <w:qFormat/>
    <w:uiPriority w:val="0"/>
    <w:pPr>
      <w:widowControl/>
      <w:spacing w:before="100" w:beforeAutospacing="1" w:after="100" w:afterAutospacing="1"/>
      <w:jc w:val="left"/>
    </w:pPr>
    <w:rPr>
      <w:rFonts w:hAnsi="宋体"/>
      <w:sz w:val="18"/>
    </w:rPr>
  </w:style>
  <w:style w:type="paragraph" w:styleId="27">
    <w:name w:val="Title"/>
    <w:basedOn w:val="1"/>
    <w:next w:val="1"/>
    <w:link w:val="60"/>
    <w:qFormat/>
    <w:uiPriority w:val="99"/>
    <w:pPr>
      <w:spacing w:before="240" w:after="60"/>
      <w:jc w:val="center"/>
      <w:outlineLvl w:val="0"/>
    </w:pPr>
    <w:rPr>
      <w:rFonts w:ascii="Cambria" w:hAnsi="Cambria"/>
      <w:b/>
      <w:bCs/>
      <w:kern w:val="2"/>
      <w:sz w:val="32"/>
      <w:szCs w:val="32"/>
    </w:rPr>
  </w:style>
  <w:style w:type="paragraph" w:styleId="28">
    <w:name w:val="annotation subject"/>
    <w:basedOn w:val="10"/>
    <w:next w:val="10"/>
    <w:link w:val="61"/>
    <w:unhideWhenUsed/>
    <w:qFormat/>
    <w:uiPriority w:val="99"/>
    <w:rPr>
      <w:b/>
      <w:bCs/>
    </w:rPr>
  </w:style>
  <w:style w:type="paragraph" w:styleId="29">
    <w:name w:val="Body Text First Indent"/>
    <w:basedOn w:val="2"/>
    <w:link w:val="62"/>
    <w:unhideWhenUsed/>
    <w:qFormat/>
    <w:uiPriority w:val="99"/>
    <w:pPr>
      <w:ind w:firstLine="420" w:firstLineChars="100"/>
    </w:pPr>
  </w:style>
  <w:style w:type="paragraph" w:styleId="30">
    <w:name w:val="Body Text First Indent 2"/>
    <w:basedOn w:val="11"/>
    <w:next w:val="29"/>
    <w:link w:val="63"/>
    <w:qFormat/>
    <w:uiPriority w:val="99"/>
    <w:pPr>
      <w:spacing w:afterLines="50" w:line="360" w:lineRule="exact"/>
      <w:ind w:firstLine="420"/>
    </w:pPr>
    <w:rPr>
      <w:rFonts w:hint="eastAsia" w:hAnsi="宋体"/>
      <w:sz w:val="24"/>
      <w:szCs w:val="24"/>
    </w:rPr>
  </w:style>
  <w:style w:type="table" w:styleId="32">
    <w:name w:val="Table Grid"/>
    <w:basedOn w:val="31"/>
    <w:qFormat/>
    <w:uiPriority w:val="0"/>
    <w:rPr>
      <w:rFonts w:ascii="等线" w:hAnsi="等线" w:eastAsia="等线" w:cs="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34">
    <w:name w:val="Strong"/>
    <w:qFormat/>
    <w:uiPriority w:val="22"/>
    <w:rPr>
      <w:b/>
    </w:rPr>
  </w:style>
  <w:style w:type="character" w:styleId="35">
    <w:name w:val="page number"/>
    <w:qFormat/>
    <w:uiPriority w:val="0"/>
  </w:style>
  <w:style w:type="character" w:styleId="36">
    <w:name w:val="FollowedHyperlink"/>
    <w:unhideWhenUsed/>
    <w:qFormat/>
    <w:uiPriority w:val="99"/>
    <w:rPr>
      <w:color w:val="333333"/>
      <w:u w:val="none"/>
    </w:rPr>
  </w:style>
  <w:style w:type="character" w:styleId="37">
    <w:name w:val="Emphasis"/>
    <w:qFormat/>
    <w:uiPriority w:val="20"/>
  </w:style>
  <w:style w:type="character" w:styleId="38">
    <w:name w:val="HTML Definition"/>
    <w:unhideWhenUsed/>
    <w:qFormat/>
    <w:uiPriority w:val="99"/>
  </w:style>
  <w:style w:type="character" w:styleId="39">
    <w:name w:val="HTML Variable"/>
    <w:unhideWhenUsed/>
    <w:qFormat/>
    <w:uiPriority w:val="99"/>
  </w:style>
  <w:style w:type="character" w:styleId="40">
    <w:name w:val="Hyperlink"/>
    <w:qFormat/>
    <w:uiPriority w:val="99"/>
    <w:rPr>
      <w:color w:val="555555"/>
      <w:u w:val="none"/>
    </w:rPr>
  </w:style>
  <w:style w:type="character" w:styleId="41">
    <w:name w:val="HTML Code"/>
    <w:unhideWhenUsed/>
    <w:qFormat/>
    <w:uiPriority w:val="99"/>
    <w:rPr>
      <w:rFonts w:ascii="Courier New" w:hAnsi="Courier New"/>
      <w:sz w:val="20"/>
    </w:rPr>
  </w:style>
  <w:style w:type="character" w:styleId="42">
    <w:name w:val="annotation reference"/>
    <w:basedOn w:val="33"/>
    <w:unhideWhenUsed/>
    <w:qFormat/>
    <w:uiPriority w:val="99"/>
    <w:rPr>
      <w:sz w:val="21"/>
      <w:szCs w:val="21"/>
    </w:rPr>
  </w:style>
  <w:style w:type="character" w:styleId="43">
    <w:name w:val="HTML Cite"/>
    <w:unhideWhenUsed/>
    <w:qFormat/>
    <w:uiPriority w:val="99"/>
  </w:style>
  <w:style w:type="paragraph" w:customStyle="1" w:styleId="44">
    <w:name w:val="Default"/>
    <w:qFormat/>
    <w:uiPriority w:val="0"/>
    <w:pPr>
      <w:widowControl w:val="0"/>
      <w:autoSpaceDE w:val="0"/>
      <w:autoSpaceDN w:val="0"/>
      <w:adjustRightInd w:val="0"/>
    </w:pPr>
    <w:rPr>
      <w:rFonts w:ascii="楷体à.ā" w:hAnsi="等线" w:eastAsia="楷体à.ā" w:cs="等线"/>
      <w:color w:val="000000"/>
      <w:sz w:val="24"/>
      <w:szCs w:val="22"/>
      <w:lang w:val="en-US" w:eastAsia="zh-CN" w:bidi="ar-SA"/>
    </w:rPr>
  </w:style>
  <w:style w:type="paragraph" w:styleId="45">
    <w:name w:val="Quote"/>
    <w:basedOn w:val="1"/>
    <w:next w:val="1"/>
    <w:link w:val="52"/>
    <w:qFormat/>
    <w:uiPriority w:val="0"/>
    <w:pPr>
      <w:wordWrap w:val="0"/>
      <w:spacing w:before="200" w:after="160"/>
      <w:ind w:left="864" w:right="864"/>
      <w:jc w:val="center"/>
    </w:pPr>
    <w:rPr>
      <w:i/>
      <w:sz w:val="21"/>
    </w:rPr>
  </w:style>
  <w:style w:type="character" w:customStyle="1" w:styleId="46">
    <w:name w:val="标题 1 Char"/>
    <w:basedOn w:val="33"/>
    <w:link w:val="3"/>
    <w:qFormat/>
    <w:uiPriority w:val="0"/>
    <w:rPr>
      <w:rFonts w:ascii="宋体" w:hAnsi="等线" w:eastAsia="等线" w:cs="等线"/>
      <w:b/>
      <w:bCs/>
      <w:kern w:val="44"/>
      <w:sz w:val="44"/>
      <w:szCs w:val="44"/>
    </w:rPr>
  </w:style>
  <w:style w:type="character" w:customStyle="1" w:styleId="47">
    <w:name w:val="标题 2 Char"/>
    <w:basedOn w:val="33"/>
    <w:link w:val="4"/>
    <w:qFormat/>
    <w:uiPriority w:val="0"/>
    <w:rPr>
      <w:rFonts w:ascii="Arial" w:hAnsi="Arial" w:eastAsia="黑体" w:cs="等线"/>
      <w:b/>
      <w:sz w:val="28"/>
      <w:szCs w:val="20"/>
    </w:rPr>
  </w:style>
  <w:style w:type="character" w:customStyle="1" w:styleId="48">
    <w:name w:val="标题 3 Char"/>
    <w:basedOn w:val="33"/>
    <w:link w:val="5"/>
    <w:qFormat/>
    <w:uiPriority w:val="0"/>
    <w:rPr>
      <w:rFonts w:ascii="Times New Roman" w:hAnsi="等线" w:eastAsia="等线" w:cs="等线"/>
      <w:b/>
      <w:sz w:val="24"/>
      <w:szCs w:val="20"/>
    </w:rPr>
  </w:style>
  <w:style w:type="character" w:customStyle="1" w:styleId="49">
    <w:name w:val="标题 4 Char"/>
    <w:basedOn w:val="33"/>
    <w:link w:val="6"/>
    <w:qFormat/>
    <w:uiPriority w:val="0"/>
    <w:rPr>
      <w:rFonts w:ascii="Cambria" w:hAnsi="Cambria" w:eastAsia="等线" w:cs="等线"/>
      <w:b/>
      <w:bCs/>
      <w:sz w:val="28"/>
      <w:szCs w:val="28"/>
    </w:rPr>
  </w:style>
  <w:style w:type="character" w:customStyle="1" w:styleId="50">
    <w:name w:val="批注文字 Char"/>
    <w:basedOn w:val="33"/>
    <w:link w:val="10"/>
    <w:qFormat/>
    <w:uiPriority w:val="99"/>
    <w:rPr>
      <w:rFonts w:ascii="宋体" w:hAnsi="等线" w:eastAsia="等线" w:cs="等线"/>
      <w:kern w:val="0"/>
      <w:sz w:val="34"/>
      <w:szCs w:val="20"/>
    </w:rPr>
  </w:style>
  <w:style w:type="character" w:customStyle="1" w:styleId="51">
    <w:name w:val="正文文本 Char"/>
    <w:basedOn w:val="33"/>
    <w:link w:val="2"/>
    <w:qFormat/>
    <w:uiPriority w:val="0"/>
    <w:rPr>
      <w:rFonts w:ascii="Times New Roman" w:hAnsi="等线" w:eastAsia="等线" w:cs="等线"/>
      <w:szCs w:val="24"/>
    </w:rPr>
  </w:style>
  <w:style w:type="character" w:customStyle="1" w:styleId="52">
    <w:name w:val="引用 Char"/>
    <w:basedOn w:val="33"/>
    <w:link w:val="45"/>
    <w:qFormat/>
    <w:uiPriority w:val="0"/>
    <w:rPr>
      <w:rFonts w:ascii="宋体" w:hAnsi="等线" w:eastAsia="等线" w:cs="等线"/>
      <w:i/>
      <w:kern w:val="0"/>
      <w:szCs w:val="20"/>
    </w:rPr>
  </w:style>
  <w:style w:type="character" w:customStyle="1" w:styleId="53">
    <w:name w:val="正文文本缩进 Char"/>
    <w:basedOn w:val="33"/>
    <w:link w:val="11"/>
    <w:qFormat/>
    <w:uiPriority w:val="0"/>
    <w:rPr>
      <w:rFonts w:ascii="宋体" w:hAnsi="等线" w:eastAsia="等线" w:cs="等线"/>
      <w:kern w:val="0"/>
      <w:sz w:val="32"/>
      <w:szCs w:val="20"/>
    </w:rPr>
  </w:style>
  <w:style w:type="character" w:customStyle="1" w:styleId="54">
    <w:name w:val="纯文本 Char"/>
    <w:basedOn w:val="33"/>
    <w:link w:val="9"/>
    <w:qFormat/>
    <w:uiPriority w:val="0"/>
    <w:rPr>
      <w:rFonts w:ascii="宋体" w:hAnsi="Courier New" w:eastAsia="等线" w:cs="等线"/>
      <w:szCs w:val="20"/>
    </w:rPr>
  </w:style>
  <w:style w:type="character" w:customStyle="1" w:styleId="55">
    <w:name w:val="正文文本缩进 2 Char"/>
    <w:basedOn w:val="33"/>
    <w:link w:val="15"/>
    <w:qFormat/>
    <w:uiPriority w:val="0"/>
    <w:rPr>
      <w:rFonts w:ascii="Times New Roman" w:hAnsi="等线" w:eastAsia="等线" w:cs="等线"/>
      <w:sz w:val="32"/>
      <w:szCs w:val="20"/>
    </w:rPr>
  </w:style>
  <w:style w:type="character" w:customStyle="1" w:styleId="56">
    <w:name w:val="批注框文本 Char"/>
    <w:basedOn w:val="33"/>
    <w:link w:val="16"/>
    <w:qFormat/>
    <w:uiPriority w:val="99"/>
    <w:rPr>
      <w:rFonts w:ascii="宋体" w:hAnsi="等线" w:eastAsia="等线" w:cs="等线"/>
      <w:kern w:val="0"/>
      <w:sz w:val="18"/>
      <w:szCs w:val="18"/>
    </w:rPr>
  </w:style>
  <w:style w:type="character" w:customStyle="1" w:styleId="57">
    <w:name w:val="页脚 Char"/>
    <w:basedOn w:val="33"/>
    <w:link w:val="17"/>
    <w:qFormat/>
    <w:uiPriority w:val="99"/>
    <w:rPr>
      <w:rFonts w:ascii="Times New Roman" w:hAnsi="等线" w:eastAsia="等线" w:cs="等线"/>
      <w:sz w:val="18"/>
      <w:szCs w:val="18"/>
    </w:rPr>
  </w:style>
  <w:style w:type="character" w:customStyle="1" w:styleId="58">
    <w:name w:val="页眉 Char"/>
    <w:basedOn w:val="33"/>
    <w:qFormat/>
    <w:uiPriority w:val="0"/>
    <w:rPr>
      <w:rFonts w:ascii="宋体" w:hAnsi="等线" w:eastAsia="等线" w:cs="等线"/>
      <w:kern w:val="0"/>
      <w:sz w:val="18"/>
      <w:szCs w:val="18"/>
    </w:rPr>
  </w:style>
  <w:style w:type="character" w:customStyle="1" w:styleId="59">
    <w:name w:val="副标题 Char"/>
    <w:basedOn w:val="33"/>
    <w:link w:val="21"/>
    <w:qFormat/>
    <w:uiPriority w:val="11"/>
    <w:rPr>
      <w:rFonts w:ascii="Cambria" w:hAnsi="Cambria" w:eastAsia="等线" w:cs="等线"/>
      <w:b/>
      <w:bCs/>
      <w:kern w:val="28"/>
      <w:sz w:val="32"/>
      <w:szCs w:val="32"/>
    </w:rPr>
  </w:style>
  <w:style w:type="character" w:customStyle="1" w:styleId="60">
    <w:name w:val="标题 Char"/>
    <w:basedOn w:val="33"/>
    <w:link w:val="27"/>
    <w:qFormat/>
    <w:uiPriority w:val="99"/>
    <w:rPr>
      <w:rFonts w:ascii="Cambria" w:hAnsi="Cambria" w:eastAsia="等线" w:cs="等线"/>
      <w:b/>
      <w:bCs/>
      <w:sz w:val="32"/>
      <w:szCs w:val="32"/>
    </w:rPr>
  </w:style>
  <w:style w:type="character" w:customStyle="1" w:styleId="61">
    <w:name w:val="批注主题 Char"/>
    <w:basedOn w:val="50"/>
    <w:link w:val="28"/>
    <w:qFormat/>
    <w:uiPriority w:val="99"/>
    <w:rPr>
      <w:rFonts w:ascii="宋体" w:hAnsi="等线" w:eastAsia="等线" w:cs="等线"/>
      <w:b/>
      <w:bCs/>
      <w:kern w:val="0"/>
      <w:sz w:val="34"/>
      <w:szCs w:val="20"/>
    </w:rPr>
  </w:style>
  <w:style w:type="character" w:customStyle="1" w:styleId="62">
    <w:name w:val="正文首行缩进 Char"/>
    <w:basedOn w:val="51"/>
    <w:link w:val="29"/>
    <w:qFormat/>
    <w:uiPriority w:val="99"/>
    <w:rPr>
      <w:rFonts w:ascii="Times New Roman" w:hAnsi="等线" w:eastAsia="等线" w:cs="等线"/>
      <w:szCs w:val="24"/>
    </w:rPr>
  </w:style>
  <w:style w:type="character" w:customStyle="1" w:styleId="63">
    <w:name w:val="正文首行缩进 2 Char"/>
    <w:basedOn w:val="53"/>
    <w:link w:val="30"/>
    <w:qFormat/>
    <w:uiPriority w:val="99"/>
    <w:rPr>
      <w:rFonts w:ascii="宋体" w:hAnsi="宋体" w:eastAsia="等线" w:cs="等线"/>
      <w:kern w:val="0"/>
      <w:sz w:val="24"/>
      <w:szCs w:val="24"/>
    </w:rPr>
  </w:style>
  <w:style w:type="character" w:customStyle="1" w:styleId="64">
    <w:name w:val="正文缩进 Char2"/>
    <w:link w:val="8"/>
    <w:qFormat/>
    <w:uiPriority w:val="0"/>
    <w:rPr>
      <w:rFonts w:ascii="Times New Roman" w:hAnsi="等线" w:eastAsia="等线" w:cs="等线"/>
      <w:szCs w:val="20"/>
    </w:rPr>
  </w:style>
  <w:style w:type="character" w:customStyle="1" w:styleId="65">
    <w:name w:val="页眉 Char1"/>
    <w:link w:val="18"/>
    <w:qFormat/>
    <w:uiPriority w:val="0"/>
    <w:rPr>
      <w:rFonts w:ascii="Times New Roman" w:hAnsi="等线" w:eastAsia="等线" w:cs="等线"/>
      <w:sz w:val="18"/>
      <w:szCs w:val="20"/>
    </w:rPr>
  </w:style>
  <w:style w:type="character" w:customStyle="1" w:styleId="66">
    <w:name w:val="样式 宋体 小四"/>
    <w:qFormat/>
    <w:uiPriority w:val="0"/>
    <w:rPr>
      <w:sz w:val="24"/>
    </w:rPr>
  </w:style>
  <w:style w:type="character" w:customStyle="1" w:styleId="67">
    <w:name w:val="label"/>
    <w:qFormat/>
    <w:uiPriority w:val="0"/>
    <w:rPr>
      <w:color w:val="555555"/>
    </w:rPr>
  </w:style>
  <w:style w:type="character" w:customStyle="1" w:styleId="68">
    <w:name w:val="正文首行缩进两字符 Char"/>
    <w:link w:val="69"/>
    <w:qFormat/>
    <w:uiPriority w:val="0"/>
    <w:rPr>
      <w:rFonts w:eastAsia="宋体"/>
    </w:rPr>
  </w:style>
  <w:style w:type="paragraph" w:customStyle="1" w:styleId="69">
    <w:name w:val="正文首行缩进两字符"/>
    <w:basedOn w:val="1"/>
    <w:link w:val="68"/>
    <w:qFormat/>
    <w:uiPriority w:val="0"/>
    <w:rPr>
      <w:rFonts w:eastAsia="宋体" w:asciiTheme="minorHAnsi" w:hAnsiTheme="minorHAnsi" w:cstheme="minorBidi"/>
      <w:kern w:val="2"/>
      <w:sz w:val="21"/>
      <w:szCs w:val="22"/>
    </w:rPr>
  </w:style>
  <w:style w:type="character" w:customStyle="1" w:styleId="70">
    <w:name w:val="纯文本 字符"/>
    <w:qFormat/>
    <w:uiPriority w:val="0"/>
    <w:rPr>
      <w:rFonts w:ascii="宋体" w:hAnsi="Courier New"/>
      <w:kern w:val="2"/>
      <w:sz w:val="21"/>
    </w:rPr>
  </w:style>
  <w:style w:type="character" w:customStyle="1" w:styleId="71">
    <w:name w:val="modifier"/>
    <w:qFormat/>
    <w:uiPriority w:val="0"/>
    <w:rPr>
      <w:color w:val="FF0000"/>
    </w:rPr>
  </w:style>
  <w:style w:type="character" w:customStyle="1" w:styleId="72">
    <w:name w:val="15"/>
    <w:qFormat/>
    <w:uiPriority w:val="0"/>
    <w:rPr>
      <w:rFonts w:hint="default" w:ascii="??¨¬?" w:hAnsi="??¨¬?" w:eastAsia="??¨¬?" w:cs="??¨¬?"/>
      <w:sz w:val="22"/>
      <w:szCs w:val="22"/>
    </w:rPr>
  </w:style>
  <w:style w:type="character" w:customStyle="1" w:styleId="73">
    <w:name w:val="正文缩进 Char1"/>
    <w:qFormat/>
    <w:uiPriority w:val="0"/>
    <w:rPr>
      <w:rFonts w:eastAsia="宋体"/>
      <w:kern w:val="2"/>
      <w:sz w:val="21"/>
      <w:lang w:val="en-US" w:eastAsia="zh-CN" w:bidi="ar-SA"/>
    </w:rPr>
  </w:style>
  <w:style w:type="character" w:customStyle="1" w:styleId="74">
    <w:name w:val="Body Char"/>
    <w:link w:val="75"/>
    <w:qFormat/>
    <w:uiPriority w:val="0"/>
    <w:rPr>
      <w:sz w:val="28"/>
      <w:szCs w:val="28"/>
    </w:rPr>
  </w:style>
  <w:style w:type="paragraph" w:customStyle="1" w:styleId="75">
    <w:name w:val="Body"/>
    <w:basedOn w:val="1"/>
    <w:link w:val="74"/>
    <w:qFormat/>
    <w:uiPriority w:val="0"/>
    <w:pPr>
      <w:widowControl/>
      <w:tabs>
        <w:tab w:val="left" w:pos="9356"/>
      </w:tabs>
      <w:spacing w:before="80" w:after="80" w:line="288" w:lineRule="auto"/>
      <w:ind w:firstLine="560"/>
    </w:pPr>
    <w:rPr>
      <w:rFonts w:asciiTheme="minorHAnsi" w:hAnsiTheme="minorHAnsi" w:eastAsiaTheme="minorEastAsia" w:cstheme="minorBidi"/>
      <w:kern w:val="2"/>
      <w:sz w:val="28"/>
      <w:szCs w:val="28"/>
    </w:rPr>
  </w:style>
  <w:style w:type="character" w:customStyle="1" w:styleId="76">
    <w:name w:val="font01"/>
    <w:basedOn w:val="33"/>
    <w:qFormat/>
    <w:uiPriority w:val="0"/>
    <w:rPr>
      <w:rFonts w:hint="eastAsia" w:ascii="宋体" w:hAnsi="宋体" w:eastAsia="宋体" w:cs="宋体"/>
      <w:color w:val="000000"/>
      <w:sz w:val="24"/>
      <w:szCs w:val="24"/>
      <w:u w:val="none"/>
    </w:rPr>
  </w:style>
  <w:style w:type="character" w:customStyle="1" w:styleId="77">
    <w:name w:val="正文缩进 Char"/>
    <w:qFormat/>
    <w:uiPriority w:val="0"/>
    <w:rPr>
      <w:rFonts w:eastAsia="宋体"/>
      <w:szCs w:val="24"/>
    </w:rPr>
  </w:style>
  <w:style w:type="character" w:customStyle="1" w:styleId="78">
    <w:name w:val="正文缩进 字符"/>
    <w:qFormat/>
    <w:uiPriority w:val="0"/>
    <w:rPr>
      <w:kern w:val="2"/>
      <w:sz w:val="21"/>
      <w:szCs w:val="24"/>
    </w:rPr>
  </w:style>
  <w:style w:type="character" w:customStyle="1" w:styleId="79">
    <w:name w:val="列出段落 Char"/>
    <w:link w:val="80"/>
    <w:qFormat/>
    <w:uiPriority w:val="0"/>
    <w:rPr>
      <w:rFonts w:ascii="Calibri" w:hAnsi="Calibri"/>
      <w:sz w:val="34"/>
    </w:rPr>
  </w:style>
  <w:style w:type="paragraph" w:styleId="80">
    <w:name w:val="List Paragraph"/>
    <w:basedOn w:val="1"/>
    <w:link w:val="79"/>
    <w:qFormat/>
    <w:uiPriority w:val="0"/>
    <w:pPr>
      <w:ind w:firstLine="420"/>
    </w:pPr>
    <w:rPr>
      <w:rFonts w:ascii="Calibri" w:hAnsi="Calibri" w:eastAsiaTheme="minorEastAsia" w:cstheme="minorBidi"/>
      <w:kern w:val="2"/>
      <w:szCs w:val="22"/>
    </w:rPr>
  </w:style>
  <w:style w:type="character" w:customStyle="1" w:styleId="81">
    <w:name w:val="标题 Char1"/>
    <w:qFormat/>
    <w:uiPriority w:val="10"/>
    <w:rPr>
      <w:rFonts w:ascii="Cambria" w:hAnsi="Cambria" w:eastAsia="宋体" w:cs="Times New Roman"/>
      <w:b/>
      <w:bCs/>
      <w:kern w:val="0"/>
      <w:sz w:val="32"/>
      <w:szCs w:val="32"/>
    </w:rPr>
  </w:style>
  <w:style w:type="paragraph" w:customStyle="1" w:styleId="82">
    <w:name w:val="列表段落1"/>
    <w:basedOn w:val="1"/>
    <w:qFormat/>
    <w:uiPriority w:val="0"/>
    <w:pPr>
      <w:ind w:firstLine="420"/>
    </w:pPr>
    <w:rPr>
      <w:rFonts w:ascii="Calibri" w:hAnsi="Calibri"/>
      <w:szCs w:val="22"/>
    </w:rPr>
  </w:style>
  <w:style w:type="paragraph" w:customStyle="1" w:styleId="83">
    <w:name w:val="_Style 76"/>
    <w:unhideWhenUsed/>
    <w:qFormat/>
    <w:uiPriority w:val="99"/>
    <w:rPr>
      <w:rFonts w:ascii="宋体" w:hAnsi="等线" w:eastAsia="等线" w:cs="等线"/>
      <w:sz w:val="34"/>
      <w:lang w:val="en-US" w:eastAsia="zh-CN" w:bidi="ar-SA"/>
    </w:rPr>
  </w:style>
  <w:style w:type="paragraph" w:customStyle="1" w:styleId="84">
    <w:name w:val="正文1"/>
    <w:qFormat/>
    <w:uiPriority w:val="0"/>
    <w:pPr>
      <w:widowControl w:val="0"/>
      <w:adjustRightInd w:val="0"/>
      <w:spacing w:line="312" w:lineRule="atLeast"/>
      <w:ind w:firstLine="200" w:firstLineChars="200"/>
      <w:jc w:val="both"/>
      <w:textAlignment w:val="baseline"/>
    </w:pPr>
    <w:rPr>
      <w:rFonts w:ascii="宋体" w:hAnsi="等线" w:eastAsia="等线" w:cs="等线"/>
      <w:sz w:val="34"/>
      <w:lang w:val="en-US" w:eastAsia="zh-CN" w:bidi="ar-SA"/>
    </w:rPr>
  </w:style>
  <w:style w:type="paragraph" w:customStyle="1" w:styleId="85">
    <w:name w:val="_Style 6"/>
    <w:basedOn w:val="1"/>
    <w:qFormat/>
    <w:uiPriority w:val="0"/>
    <w:pPr>
      <w:ind w:firstLine="420"/>
    </w:pPr>
    <w:rPr>
      <w:rFonts w:ascii="Calibri" w:hAnsi="Calibri" w:eastAsia="宋体" w:cs="Times New Roman"/>
      <w:szCs w:val="22"/>
    </w:rPr>
  </w:style>
  <w:style w:type="paragraph" w:customStyle="1" w:styleId="86">
    <w:name w:val="页眉与页脚"/>
    <w:qFormat/>
    <w:uiPriority w:val="0"/>
    <w:pPr>
      <w:tabs>
        <w:tab w:val="right" w:pos="9020"/>
      </w:tabs>
    </w:pPr>
    <w:rPr>
      <w:rFonts w:ascii="Helvetica" w:hAnsi="Arial Unicode MS" w:eastAsia="Arial Unicode MS" w:cs="Arial Unicode MS"/>
      <w:color w:val="000000"/>
      <w:sz w:val="24"/>
      <w:szCs w:val="24"/>
      <w:lang w:val="en-US" w:eastAsia="zh-CN" w:bidi="ar-SA"/>
    </w:rPr>
  </w:style>
  <w:style w:type="paragraph" w:customStyle="1" w:styleId="87">
    <w:name w:val="无间隔1"/>
    <w:qFormat/>
    <w:uiPriority w:val="0"/>
    <w:pPr>
      <w:widowControl w:val="0"/>
      <w:jc w:val="both"/>
    </w:pPr>
    <w:rPr>
      <w:rFonts w:ascii="等线" w:hAnsi="等线" w:eastAsia="等线" w:cs="等线"/>
      <w:kern w:val="2"/>
      <w:sz w:val="21"/>
      <w:szCs w:val="22"/>
      <w:lang w:val="en-US" w:eastAsia="zh-CN" w:bidi="ar-SA"/>
    </w:rPr>
  </w:style>
  <w:style w:type="paragraph" w:customStyle="1" w:styleId="88">
    <w:name w:val="文档正文"/>
    <w:basedOn w:val="1"/>
    <w:qFormat/>
    <w:uiPriority w:val="0"/>
    <w:pPr>
      <w:spacing w:line="440" w:lineRule="atLeast"/>
      <w:ind w:firstLine="567"/>
    </w:pPr>
    <w:rPr>
      <w:spacing w:val="4"/>
    </w:rPr>
  </w:style>
  <w:style w:type="paragraph" w:customStyle="1" w:styleId="89">
    <w:name w:val="标题 51"/>
    <w:basedOn w:val="1"/>
    <w:qFormat/>
    <w:uiPriority w:val="1"/>
    <w:pPr>
      <w:spacing w:line="240" w:lineRule="auto"/>
      <w:ind w:left="114" w:firstLine="0" w:firstLineChars="0"/>
      <w:jc w:val="left"/>
      <w:outlineLvl w:val="5"/>
    </w:pPr>
    <w:rPr>
      <w:rFonts w:hAnsi="宋体"/>
      <w:b/>
      <w:bCs/>
      <w:sz w:val="28"/>
      <w:szCs w:val="28"/>
      <w:lang w:eastAsia="en-US"/>
    </w:rPr>
  </w:style>
  <w:style w:type="paragraph" w:customStyle="1" w:styleId="90">
    <w:name w:val="样式 首行缩进:  2 字符"/>
    <w:basedOn w:val="1"/>
    <w:qFormat/>
    <w:uiPriority w:val="0"/>
    <w:pPr>
      <w:spacing w:line="400" w:lineRule="exact"/>
    </w:pPr>
    <w:rPr>
      <w:sz w:val="24"/>
    </w:rPr>
  </w:style>
  <w:style w:type="paragraph" w:customStyle="1" w:styleId="91">
    <w:name w:val="表格1"/>
    <w:basedOn w:val="1"/>
    <w:qFormat/>
    <w:uiPriority w:val="0"/>
    <w:pPr>
      <w:snapToGrid w:val="0"/>
      <w:ind w:left="150"/>
    </w:pPr>
    <w:rPr>
      <w:rFonts w:ascii="Calibri" w:hAnsi="宋体" w:eastAsia="仿宋" w:cs="Times New Roman"/>
      <w:kern w:val="2"/>
      <w:sz w:val="24"/>
      <w:szCs w:val="24"/>
    </w:rPr>
  </w:style>
  <w:style w:type="paragraph" w:customStyle="1" w:styleId="92">
    <w:name w:val="reader-word-layer reader-word-s4-1"/>
    <w:basedOn w:val="1"/>
    <w:qFormat/>
    <w:uiPriority w:val="0"/>
    <w:pPr>
      <w:widowControl/>
      <w:spacing w:before="100" w:beforeAutospacing="1" w:after="100" w:afterAutospacing="1"/>
      <w:jc w:val="left"/>
    </w:pPr>
    <w:rPr>
      <w:rFonts w:hAnsi="宋体" w:cs="宋体"/>
      <w:sz w:val="24"/>
    </w:rPr>
  </w:style>
  <w:style w:type="paragraph" w:customStyle="1" w:styleId="93">
    <w:name w:val="TableContent"/>
    <w:qFormat/>
    <w:uiPriority w:val="1"/>
    <w:pPr>
      <w:spacing w:before="40" w:after="40"/>
      <w:jc w:val="both"/>
    </w:pPr>
    <w:rPr>
      <w:rFonts w:ascii="Arial" w:hAnsi="Arial" w:eastAsia="等线" w:cs="等线"/>
      <w:kern w:val="44"/>
      <w:sz w:val="18"/>
      <w:szCs w:val="44"/>
      <w:lang w:val="en-US" w:eastAsia="zh-CN" w:bidi="ar-SA"/>
    </w:rPr>
  </w:style>
  <w:style w:type="paragraph" w:customStyle="1" w:styleId="94">
    <w:name w:val="样式"/>
    <w:qFormat/>
    <w:uiPriority w:val="0"/>
    <w:pPr>
      <w:widowControl w:val="0"/>
      <w:autoSpaceDE w:val="0"/>
      <w:autoSpaceDN w:val="0"/>
      <w:adjustRightInd w:val="0"/>
      <w:spacing w:line="360" w:lineRule="auto"/>
      <w:ind w:firstLine="200" w:firstLineChars="200"/>
    </w:pPr>
    <w:rPr>
      <w:rFonts w:ascii="宋体" w:hAnsi="宋体" w:eastAsia="等线" w:cs="等线"/>
      <w:sz w:val="24"/>
      <w:lang w:val="en-US" w:eastAsia="zh-CN" w:bidi="ar-SA"/>
    </w:rPr>
  </w:style>
  <w:style w:type="paragraph" w:customStyle="1" w:styleId="95">
    <w:name w:val="方正正文"/>
    <w:basedOn w:val="1"/>
    <w:qFormat/>
    <w:uiPriority w:val="0"/>
    <w:pPr>
      <w:snapToGrid w:val="0"/>
      <w:spacing w:line="319" w:lineRule="auto"/>
    </w:pPr>
    <w:rPr>
      <w:rFonts w:eastAsia="仿宋"/>
      <w:sz w:val="32"/>
    </w:rPr>
  </w:style>
  <w:style w:type="paragraph" w:customStyle="1" w:styleId="96">
    <w:name w:val="默认段落字体 Para Char"/>
    <w:basedOn w:val="1"/>
    <w:qFormat/>
    <w:uiPriority w:val="0"/>
    <w:pPr>
      <w:adjustRightInd w:val="0"/>
      <w:ind w:firstLine="0" w:firstLineChars="0"/>
    </w:pPr>
    <w:rPr>
      <w:sz w:val="24"/>
    </w:rPr>
  </w:style>
  <w:style w:type="paragraph" w:customStyle="1" w:styleId="97">
    <w:name w:val="reader-word-layer reader-word-s6-4"/>
    <w:basedOn w:val="1"/>
    <w:qFormat/>
    <w:uiPriority w:val="0"/>
    <w:pPr>
      <w:widowControl/>
      <w:spacing w:before="100" w:beforeAutospacing="1" w:after="100" w:afterAutospacing="1"/>
      <w:jc w:val="left"/>
    </w:pPr>
    <w:rPr>
      <w:rFonts w:hAnsi="宋体" w:cs="宋体"/>
      <w:sz w:val="24"/>
    </w:rPr>
  </w:style>
  <w:style w:type="paragraph" w:customStyle="1" w:styleId="98">
    <w:name w:val="nor"/>
    <w:basedOn w:val="1"/>
    <w:qFormat/>
    <w:uiPriority w:val="0"/>
    <w:pPr>
      <w:ind w:firstLine="640"/>
    </w:pPr>
    <w:rPr>
      <w:rFonts w:ascii="仿宋_GB2312" w:eastAsia="仿宋_GB2312"/>
      <w:sz w:val="32"/>
      <w:szCs w:val="32"/>
    </w:rPr>
  </w:style>
  <w:style w:type="paragraph" w:customStyle="1" w:styleId="99">
    <w:name w:val="reader-word-layer reader-word-s3-31"/>
    <w:basedOn w:val="1"/>
    <w:qFormat/>
    <w:uiPriority w:val="0"/>
    <w:pPr>
      <w:widowControl/>
      <w:spacing w:before="100" w:beforeAutospacing="1" w:after="100" w:afterAutospacing="1"/>
      <w:jc w:val="left"/>
    </w:pPr>
    <w:rPr>
      <w:rFonts w:hAnsi="宋体" w:cs="宋体"/>
      <w:sz w:val="24"/>
    </w:rPr>
  </w:style>
  <w:style w:type="paragraph" w:customStyle="1" w:styleId="100">
    <w:name w:val="样式 首行缩进:  0 字符"/>
    <w:basedOn w:val="1"/>
    <w:qFormat/>
    <w:uiPriority w:val="0"/>
    <w:pPr>
      <w:spacing w:line="240" w:lineRule="auto"/>
      <w:ind w:firstLine="0" w:firstLineChars="0"/>
    </w:pPr>
    <w:rPr>
      <w:rFonts w:ascii="Calibri" w:hAnsi="Calibri"/>
      <w:szCs w:val="22"/>
    </w:rPr>
  </w:style>
  <w:style w:type="paragraph" w:customStyle="1" w:styleId="101">
    <w:name w:val="reader-word-layer reader-word-s5-13"/>
    <w:basedOn w:val="1"/>
    <w:qFormat/>
    <w:uiPriority w:val="0"/>
    <w:pPr>
      <w:widowControl/>
      <w:spacing w:before="100" w:beforeAutospacing="1" w:after="100" w:afterAutospacing="1"/>
      <w:jc w:val="left"/>
    </w:pPr>
    <w:rPr>
      <w:rFonts w:hAnsi="宋体" w:cs="宋体"/>
      <w:sz w:val="24"/>
    </w:rPr>
  </w:style>
  <w:style w:type="paragraph" w:customStyle="1" w:styleId="102">
    <w:name w:val="正文 A"/>
    <w:next w:val="103"/>
    <w:qFormat/>
    <w:uiPriority w:val="0"/>
    <w:pPr>
      <w:widowControl w:val="0"/>
      <w:jc w:val="both"/>
    </w:pPr>
    <w:rPr>
      <w:rFonts w:ascii="等线" w:hAnsi="Arial Unicode MS" w:eastAsia="Arial Unicode MS" w:cs="Arial Unicode MS"/>
      <w:color w:val="000000"/>
      <w:kern w:val="2"/>
      <w:sz w:val="18"/>
      <w:szCs w:val="18"/>
      <w:lang w:val="en-US" w:eastAsia="zh-CN" w:bidi="ar-SA"/>
    </w:rPr>
  </w:style>
  <w:style w:type="paragraph" w:customStyle="1" w:styleId="103">
    <w:name w:val="正文文本1"/>
    <w:next w:val="102"/>
    <w:qFormat/>
    <w:uiPriority w:val="0"/>
    <w:pPr>
      <w:widowControl w:val="0"/>
      <w:spacing w:after="120"/>
      <w:jc w:val="both"/>
    </w:pPr>
    <w:rPr>
      <w:rFonts w:ascii="等线" w:hAnsi="等线" w:eastAsia="Times New Roman" w:cs="等线"/>
      <w:color w:val="000000"/>
      <w:kern w:val="2"/>
      <w:sz w:val="21"/>
      <w:szCs w:val="21"/>
      <w:u w:color="000000"/>
      <w:lang w:val="en-US" w:eastAsia="zh-CN" w:bidi="ar-SA"/>
    </w:rPr>
  </w:style>
  <w:style w:type="paragraph" w:customStyle="1" w:styleId="104">
    <w:name w:val="正文6"/>
    <w:basedOn w:val="1"/>
    <w:qFormat/>
    <w:uiPriority w:val="0"/>
    <w:pPr>
      <w:adjustRightInd w:val="0"/>
      <w:spacing w:line="312" w:lineRule="atLeast"/>
      <w:ind w:firstLine="0" w:firstLineChars="0"/>
      <w:textAlignment w:val="baseline"/>
    </w:pPr>
    <w:rPr>
      <w:rFonts w:hAnsi="Calibri"/>
      <w:szCs w:val="34"/>
    </w:rPr>
  </w:style>
  <w:style w:type="paragraph" w:customStyle="1" w:styleId="105">
    <w:name w:val="reader-word-layer reader-word-s4-2"/>
    <w:basedOn w:val="1"/>
    <w:qFormat/>
    <w:uiPriority w:val="0"/>
    <w:pPr>
      <w:widowControl/>
      <w:spacing w:before="100" w:beforeAutospacing="1" w:after="100" w:afterAutospacing="1"/>
      <w:jc w:val="left"/>
    </w:pPr>
    <w:rPr>
      <w:rFonts w:hAnsi="宋体" w:cs="宋体"/>
      <w:sz w:val="24"/>
    </w:rPr>
  </w:style>
  <w:style w:type="paragraph" w:customStyle="1" w:styleId="106">
    <w:name w:val="表格"/>
    <w:basedOn w:val="1"/>
    <w:qFormat/>
    <w:uiPriority w:val="0"/>
    <w:pPr>
      <w:spacing w:line="400" w:lineRule="exact"/>
    </w:pPr>
    <w:rPr>
      <w:sz w:val="24"/>
    </w:rPr>
  </w:style>
  <w:style w:type="paragraph" w:customStyle="1" w:styleId="107">
    <w:name w:val="Char Char Char Char Char Char Char Char Char Char Char Char Char Char1 Char Char Char Char"/>
    <w:basedOn w:val="1"/>
    <w:qFormat/>
    <w:uiPriority w:val="0"/>
    <w:pPr>
      <w:spacing w:line="240" w:lineRule="auto"/>
      <w:ind w:firstLine="0" w:firstLineChars="0"/>
    </w:pPr>
    <w:rPr>
      <w:szCs w:val="21"/>
    </w:rPr>
  </w:style>
  <w:style w:type="paragraph" w:customStyle="1" w:styleId="108">
    <w:name w:val="Table Paragraph"/>
    <w:basedOn w:val="1"/>
    <w:qFormat/>
    <w:uiPriority w:val="1"/>
    <w:pPr>
      <w:spacing w:line="240" w:lineRule="auto"/>
      <w:ind w:firstLine="0" w:firstLineChars="0"/>
      <w:jc w:val="left"/>
    </w:pPr>
    <w:rPr>
      <w:rFonts w:ascii="Calibri" w:hAnsi="Calibri"/>
      <w:sz w:val="22"/>
      <w:szCs w:val="22"/>
      <w:lang w:eastAsia="en-US"/>
    </w:rPr>
  </w:style>
  <w:style w:type="paragraph" w:customStyle="1" w:styleId="109">
    <w:name w:val="正文缩进HS-正文1"/>
    <w:basedOn w:val="1"/>
    <w:qFormat/>
    <w:uiPriority w:val="0"/>
    <w:pPr>
      <w:spacing w:line="240" w:lineRule="auto"/>
      <w:ind w:firstLine="0" w:firstLineChars="0"/>
      <w:jc w:val="center"/>
    </w:pPr>
    <w:rPr>
      <w:rFonts w:hAnsi="宋体"/>
      <w:color w:val="000000"/>
      <w:szCs w:val="21"/>
    </w:rPr>
  </w:style>
  <w:style w:type="paragraph" w:customStyle="1" w:styleId="110">
    <w:name w:val="样式3"/>
    <w:basedOn w:val="75"/>
    <w:qFormat/>
    <w:uiPriority w:val="0"/>
    <w:pPr>
      <w:ind w:left="540"/>
    </w:pPr>
    <w:rPr>
      <w:rFonts w:ascii="方正仿宋简体" w:eastAsia="方正仿宋简体"/>
    </w:rPr>
  </w:style>
  <w:style w:type="paragraph" w:customStyle="1" w:styleId="111">
    <w:name w:val="reader-word-layer reader-word-s1-12"/>
    <w:basedOn w:val="1"/>
    <w:qFormat/>
    <w:uiPriority w:val="0"/>
    <w:pPr>
      <w:widowControl/>
      <w:spacing w:before="100" w:beforeAutospacing="1" w:after="100" w:afterAutospacing="1"/>
      <w:jc w:val="left"/>
    </w:pPr>
    <w:rPr>
      <w:rFonts w:hAnsi="宋体" w:cs="宋体"/>
      <w:sz w:val="24"/>
    </w:rPr>
  </w:style>
  <w:style w:type="paragraph" w:customStyle="1" w:styleId="112">
    <w:name w:val="a"/>
    <w:basedOn w:val="1"/>
    <w:qFormat/>
    <w:uiPriority w:val="0"/>
    <w:pPr>
      <w:adjustRightInd w:val="0"/>
      <w:spacing w:line="400" w:lineRule="atLeast"/>
      <w:ind w:left="1134" w:hanging="454"/>
    </w:pPr>
    <w:rPr>
      <w:rFonts w:ascii="Arial" w:hAnsi="Arial"/>
    </w:rPr>
  </w:style>
  <w:style w:type="character" w:customStyle="1" w:styleId="113">
    <w:name w:val="无"/>
    <w:qFormat/>
    <w:uiPriority w:val="0"/>
  </w:style>
  <w:style w:type="paragraph" w:customStyle="1" w:styleId="114">
    <w:name w:val="标题 11"/>
    <w:next w:val="102"/>
    <w:qFormat/>
    <w:uiPriority w:val="0"/>
    <w:pPr>
      <w:keepNext/>
      <w:keepLines/>
      <w:widowControl w:val="0"/>
      <w:spacing w:line="360" w:lineRule="auto"/>
      <w:jc w:val="center"/>
      <w:outlineLvl w:val="1"/>
    </w:pPr>
    <w:rPr>
      <w:rFonts w:ascii="SimSong Bold" w:hAnsi="SimSong Bold" w:eastAsia="SimSong Bold" w:cs="SimSong Bold"/>
      <w:color w:val="000000"/>
      <w:kern w:val="44"/>
      <w:sz w:val="44"/>
      <w:szCs w:val="44"/>
      <w:u w:color="000000"/>
      <w:lang w:val="en-US" w:eastAsia="zh-CN" w:bidi="ar-SA"/>
    </w:rPr>
  </w:style>
  <w:style w:type="character" w:customStyle="1" w:styleId="115">
    <w:name w:val="font21"/>
    <w:basedOn w:val="33"/>
    <w:qFormat/>
    <w:uiPriority w:val="0"/>
    <w:rPr>
      <w:rFonts w:ascii="宋体" w:hAnsi="宋体" w:eastAsia="宋体" w:cs="宋体"/>
      <w:color w:val="000000"/>
      <w:sz w:val="22"/>
      <w:szCs w:val="22"/>
      <w:u w:val="none"/>
    </w:rPr>
  </w:style>
  <w:style w:type="paragraph" w:customStyle="1" w:styleId="116">
    <w:name w:val="默认"/>
    <w:qFormat/>
    <w:uiPriority w:val="0"/>
    <w:pPr>
      <w:spacing w:before="160" w:line="288" w:lineRule="auto"/>
    </w:pPr>
    <w:rPr>
      <w:rFonts w:ascii="PingFang SC Regular" w:hAnsi="PingFang SC Regular" w:eastAsia="PingFang SC Regular" w:cs="PingFang SC Regular"/>
      <w:color w:val="000000"/>
      <w:sz w:val="24"/>
      <w:szCs w:val="24"/>
      <w:lang w:val="en-US" w:eastAsia="zh-CN" w:bidi="ar-SA"/>
    </w:rPr>
  </w:style>
  <w:style w:type="paragraph" w:customStyle="1" w:styleId="117">
    <w:name w:val="标题1"/>
    <w:next w:val="102"/>
    <w:qFormat/>
    <w:uiPriority w:val="0"/>
    <w:pPr>
      <w:widowControl w:val="0"/>
      <w:spacing w:before="240" w:after="60" w:line="360" w:lineRule="auto"/>
      <w:ind w:firstLine="200"/>
      <w:jc w:val="center"/>
      <w:outlineLvl w:val="0"/>
    </w:pPr>
    <w:rPr>
      <w:rFonts w:ascii="Cambria" w:hAnsi="Cambria" w:eastAsia="Cambria" w:cs="Cambria"/>
      <w:b/>
      <w:bCs/>
      <w:color w:val="000000"/>
      <w:kern w:val="2"/>
      <w:sz w:val="32"/>
      <w:szCs w:val="32"/>
      <w:u w:color="000000"/>
      <w:lang w:val="en-US" w:eastAsia="zh-CN" w:bidi="ar-SA"/>
    </w:rPr>
  </w:style>
  <w:style w:type="paragraph" w:customStyle="1" w:styleId="118">
    <w:name w:val="正文文本缩进2"/>
    <w:qFormat/>
    <w:uiPriority w:val="0"/>
    <w:pPr>
      <w:widowControl w:val="0"/>
      <w:spacing w:line="360" w:lineRule="auto"/>
      <w:ind w:firstLine="630"/>
      <w:jc w:val="both"/>
    </w:pPr>
    <w:rPr>
      <w:rFonts w:ascii="宋体" w:hAnsi="宋体" w:eastAsia="Arial Unicode MS" w:cs="Arial Unicode MS"/>
      <w:color w:val="000000"/>
      <w:sz w:val="32"/>
      <w:szCs w:val="32"/>
      <w:u w:color="000000"/>
      <w:lang w:val="en-US" w:eastAsia="zh-CN" w:bidi="ar-SA"/>
    </w:rPr>
  </w:style>
  <w:style w:type="character" w:customStyle="1" w:styleId="119">
    <w:name w:val="Hyperlink.0"/>
    <w:qFormat/>
    <w:uiPriority w:val="0"/>
  </w:style>
  <w:style w:type="character" w:customStyle="1" w:styleId="120">
    <w:name w:val="font51"/>
    <w:qFormat/>
    <w:uiPriority w:val="0"/>
    <w:rPr>
      <w:rFonts w:hint="eastAsia" w:ascii="宋体" w:hAnsi="宋体" w:eastAsia="宋体" w:cs="宋体"/>
      <w:color w:val="FF0000"/>
      <w:sz w:val="24"/>
      <w:szCs w:val="24"/>
      <w:u w:val="none"/>
    </w:rPr>
  </w:style>
  <w:style w:type="character" w:customStyle="1" w:styleId="121">
    <w:name w:val="font91"/>
    <w:qFormat/>
    <w:uiPriority w:val="0"/>
    <w:rPr>
      <w:rFonts w:hint="eastAsia" w:ascii="宋体" w:hAnsi="宋体" w:eastAsia="宋体" w:cs="宋体"/>
      <w:color w:val="000000"/>
      <w:sz w:val="22"/>
      <w:szCs w:val="22"/>
      <w:u w:val="none"/>
      <w:vertAlign w:val="superscript"/>
    </w:rPr>
  </w:style>
  <w:style w:type="character" w:customStyle="1" w:styleId="122">
    <w:name w:val="font31"/>
    <w:qFormat/>
    <w:uiPriority w:val="0"/>
    <w:rPr>
      <w:rFonts w:hint="eastAsia" w:ascii="宋体" w:hAnsi="宋体" w:eastAsia="宋体" w:cs="宋体"/>
      <w:color w:val="FF0000"/>
      <w:sz w:val="24"/>
      <w:szCs w:val="24"/>
      <w:u w:val="none"/>
    </w:rPr>
  </w:style>
  <w:style w:type="character" w:customStyle="1" w:styleId="123">
    <w:name w:val="font11"/>
    <w:qFormat/>
    <w:uiPriority w:val="0"/>
    <w:rPr>
      <w:rFonts w:hint="eastAsia" w:ascii="宋体" w:hAnsi="宋体" w:eastAsia="宋体" w:cs="宋体"/>
      <w:color w:val="000000"/>
      <w:sz w:val="22"/>
      <w:szCs w:val="22"/>
      <w:u w:val="none"/>
    </w:rPr>
  </w:style>
  <w:style w:type="character" w:customStyle="1" w:styleId="124">
    <w:name w:val="font41"/>
    <w:qFormat/>
    <w:uiPriority w:val="0"/>
    <w:rPr>
      <w:rFonts w:hint="eastAsia" w:ascii="宋体" w:hAnsi="宋体" w:eastAsia="宋体" w:cs="宋体"/>
      <w:color w:val="FF0000"/>
      <w:sz w:val="22"/>
      <w:szCs w:val="22"/>
      <w:u w:val="none"/>
    </w:rPr>
  </w:style>
  <w:style w:type="character" w:customStyle="1" w:styleId="125">
    <w:name w:val="NormalCharacter"/>
    <w:qFormat/>
    <w:uiPriority w:val="0"/>
    <w:rPr>
      <w:kern w:val="2"/>
      <w:sz w:val="21"/>
      <w:szCs w:val="24"/>
      <w:lang w:val="en-US" w:eastAsia="zh-CN" w:bidi="ar-SA"/>
    </w:rPr>
  </w:style>
  <w:style w:type="paragraph" w:customStyle="1" w:styleId="126">
    <w:name w:val="标题 5（有编号）（绿盟科技）"/>
    <w:basedOn w:val="1"/>
    <w:next w:val="1"/>
    <w:qFormat/>
    <w:uiPriority w:val="0"/>
    <w:pPr>
      <w:keepNext/>
      <w:keepLines/>
      <w:numPr>
        <w:ilvl w:val="4"/>
        <w:numId w:val="1"/>
      </w:numPr>
      <w:spacing w:before="280" w:after="156" w:line="377" w:lineRule="auto"/>
      <w:jc w:val="left"/>
      <w:outlineLvl w:val="4"/>
    </w:pPr>
    <w:rPr>
      <w:rFonts w:ascii="Arial" w:hAnsi="Arial" w:eastAsia="黑体"/>
      <w:b/>
      <w:sz w:val="24"/>
      <w:szCs w:val="28"/>
    </w:rPr>
  </w:style>
  <w:style w:type="paragraph" w:customStyle="1" w:styleId="127">
    <w:name w:val="正文（绿盟科技）"/>
    <w:qFormat/>
    <w:uiPriority w:val="0"/>
    <w:pPr>
      <w:spacing w:line="300" w:lineRule="auto"/>
    </w:pPr>
    <w:rPr>
      <w:rFonts w:ascii="Arial" w:hAnsi="Arial" w:eastAsia="等线" w:cs="等线"/>
      <w:sz w:val="21"/>
      <w:szCs w:val="21"/>
      <w:lang w:val="en-US" w:eastAsia="zh-CN" w:bidi="ar-SA"/>
    </w:rPr>
  </w:style>
  <w:style w:type="paragraph" w:customStyle="1" w:styleId="128">
    <w:name w:val="FS正文"/>
    <w:basedOn w:val="29"/>
    <w:qFormat/>
    <w:uiPriority w:val="0"/>
    <w:pPr>
      <w:widowControl/>
      <w:spacing w:after="0" w:line="360" w:lineRule="auto"/>
      <w:ind w:firstLine="200" w:firstLineChars="200"/>
      <w:jc w:val="left"/>
    </w:pPr>
    <w:rPr>
      <w:rFonts w:ascii="Calibri Light" w:hAnsi="Calibri Light" w:eastAsia="仿宋" w:cs="Times New Roman"/>
      <w:sz w:val="24"/>
      <w:szCs w:val="20"/>
    </w:rPr>
  </w:style>
  <w:style w:type="table" w:customStyle="1" w:styleId="129">
    <w:name w:val="Table Normal"/>
    <w:unhideWhenUsed/>
    <w:qFormat/>
    <w:uiPriority w:val="0"/>
    <w:rPr>
      <w:rFonts w:ascii="等线" w:hAnsi="等线" w:eastAsia="等线" w:cs="等线"/>
    </w:rPr>
    <w:tblPr>
      <w:tblLayout w:type="fixed"/>
      <w:tblCellMar>
        <w:top w:w="0" w:type="dxa"/>
        <w:left w:w="0" w:type="dxa"/>
        <w:bottom w:w="0" w:type="dxa"/>
        <w:right w:w="0" w:type="dxa"/>
      </w:tblCellMar>
    </w:tblPr>
  </w:style>
  <w:style w:type="paragraph" w:customStyle="1" w:styleId="130">
    <w:name w:val="修订1"/>
    <w:hidden/>
    <w:semiHidden/>
    <w:qFormat/>
    <w:uiPriority w:val="99"/>
    <w:rPr>
      <w:rFonts w:ascii="宋体" w:hAnsi="等线" w:eastAsia="等线" w:cs="等线"/>
      <w:sz w:val="34"/>
      <w:lang w:val="en-US" w:eastAsia="zh-CN" w:bidi="ar-SA"/>
    </w:rPr>
  </w:style>
  <w:style w:type="paragraph" w:customStyle="1" w:styleId="131">
    <w:name w:val="Body text|1"/>
    <w:basedOn w:val="1"/>
    <w:qFormat/>
    <w:uiPriority w:val="0"/>
    <w:pPr>
      <w:spacing w:line="413" w:lineRule="auto"/>
      <w:ind w:firstLine="400"/>
    </w:pPr>
    <w:rPr>
      <w:rFonts w:hAnsi="宋体" w:cs="宋体"/>
      <w:kern w:val="2"/>
      <w:sz w:val="22"/>
      <w:szCs w:val="22"/>
      <w:lang w:val="zh-TW" w:eastAsia="zh-TW" w:bidi="zh-TW"/>
    </w:rPr>
  </w:style>
  <w:style w:type="paragraph" w:customStyle="1" w:styleId="132">
    <w:name w:val="Body text|2"/>
    <w:basedOn w:val="1"/>
    <w:qFormat/>
    <w:uiPriority w:val="0"/>
    <w:pPr>
      <w:spacing w:after="240" w:line="329" w:lineRule="auto"/>
      <w:ind w:right="380" w:firstLine="240"/>
    </w:pPr>
    <w:rPr>
      <w:rFonts w:ascii="Calibri" w:hAnsi="Calibri"/>
      <w:kern w:val="2"/>
      <w:sz w:val="22"/>
      <w:szCs w:val="22"/>
      <w:lang w:val="zh-TW" w:eastAsia="zh-TW" w:bidi="zh-TW"/>
    </w:rPr>
  </w:style>
  <w:style w:type="paragraph" w:customStyle="1" w:styleId="133">
    <w:name w:val="正文新"/>
    <w:qFormat/>
    <w:uiPriority w:val="0"/>
    <w:pPr>
      <w:widowControl w:val="0"/>
      <w:spacing w:line="360" w:lineRule="auto"/>
      <w:ind w:firstLine="200"/>
      <w:jc w:val="both"/>
    </w:pPr>
    <w:rPr>
      <w:rFonts w:ascii="Arial Unicode MS" w:hAnsi="Arial Unicode MS" w:eastAsia="Times New Roman" w:cs="Arial Unicode MS"/>
      <w:color w:val="000000"/>
      <w:sz w:val="24"/>
      <w:szCs w:val="24"/>
      <w:u w:color="000000"/>
      <w:lang w:val="en-US" w:eastAsia="zh-CN" w:bidi="ar-SA"/>
    </w:rPr>
  </w:style>
  <w:style w:type="paragraph" w:customStyle="1" w:styleId="134">
    <w:name w:val="Table Text"/>
    <w:basedOn w:val="1"/>
    <w:semiHidden/>
    <w:qFormat/>
    <w:uiPriority w:val="0"/>
    <w:rPr>
      <w:rFonts w:ascii="仿宋" w:hAnsi="仿宋" w:eastAsia="仿宋" w:cs="仿宋"/>
      <w:sz w:val="24"/>
      <w:szCs w:val="24"/>
      <w:lang w:val="en-US" w:eastAsia="en-US" w:bidi="ar-SA"/>
    </w:rPr>
  </w:style>
  <w:style w:type="paragraph" w:customStyle="1" w:styleId="135">
    <w:name w:val="Table of contents|1"/>
    <w:basedOn w:val="1"/>
    <w:qFormat/>
    <w:uiPriority w:val="0"/>
    <w:pPr>
      <w:widowControl w:val="0"/>
      <w:shd w:val="clear" w:color="auto" w:fill="auto"/>
      <w:spacing w:after="160"/>
      <w:ind w:firstLine="460"/>
    </w:pPr>
    <w:rPr>
      <w:rFonts w:ascii="宋体" w:hAnsi="宋体" w:eastAsia="宋体" w:cs="宋体"/>
      <w:sz w:val="28"/>
      <w:szCs w:val="28"/>
      <w:u w:val="none"/>
      <w:shd w:val="clear" w:color="auto" w:fill="auto"/>
      <w:lang w:val="zh-TW" w:eastAsia="zh-TW" w:bidi="zh-TW"/>
    </w:rPr>
  </w:style>
  <w:style w:type="character" w:customStyle="1" w:styleId="136">
    <w:name w:val="font61"/>
    <w:basedOn w:val="33"/>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86</Pages>
  <Words>11273</Words>
  <Characters>11753</Characters>
  <Lines>237</Lines>
  <Paragraphs>66</Paragraphs>
  <TotalTime>3</TotalTime>
  <ScaleCrop>false</ScaleCrop>
  <LinksUpToDate>false</LinksUpToDate>
  <CharactersWithSpaces>11869</CharactersWithSpaces>
  <Application>WPS Office_11.8.6.8556_F1E327BC-269C-435d-A152-05C5408002CA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2023-11-10T01:25:00Z</dcterms:created>
  <dc:creator>唐琳</dc:creator>
  <cp:lastModifiedBy>刘杰</cp:lastModifiedBy>
  <cp:lastPrinted>2025-03-19T02:35:00Z</cp:lastPrinted>
  <dcterms:modified xsi:type="dcterms:W3CDTF">2025-05-23T03:59:13Z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2052-11.8.6.8556</vt:lpwstr>
  </property>
  <property fmtid="{D5CDD505-2E9C-101B-9397-08002B2CF9AE}" pid="3" name="ICV">
    <vt:lpwstr>5EC8E4C2A67E457EAB2C04F506939FAC_13</vt:lpwstr>
  </property>
  <property fmtid="{D5CDD505-2E9C-101B-9397-08002B2CF9AE}" pid="4" name="KSOTemplateDocerSaveRecord">
    <vt:lpwstr>eyJoZGlkIjoiNmUwNzQwODhmNWZlNGQ5ZTk0MGQwNzcwMjAzYzk2MGQiLCJ1c2VySWQiOiI0NTkxODE2MjEifQ==</vt:lpwstr>
  </property>
</Properties>
</file>