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240" w:lineRule="auto"/>
        <w:ind w:right="105" w:firstLine="0" w:firstLineChars="0"/>
        <w:jc w:val="center"/>
        <w:rPr>
          <w:rFonts w:hint="eastAsia" w:ascii="仿宋" w:hAnsi="仿宋" w:eastAsia="仿宋" w:cs="仿宋"/>
          <w:b/>
          <w:color w:val="000000" w:themeColor="text1"/>
          <w:sz w:val="52"/>
          <w:szCs w:val="52"/>
          <w:highlight w:val="none"/>
          <w:lang w:val="en-US" w:eastAsia="zh-CN"/>
          <w14:textFill>
            <w14:solidFill>
              <w14:schemeClr w14:val="tx1"/>
            </w14:solidFill>
          </w14:textFill>
        </w:rPr>
      </w:pPr>
      <w:bookmarkStart w:id="0" w:name="_Toc714"/>
      <w:r>
        <w:rPr>
          <w:rFonts w:hint="eastAsia" w:ascii="仿宋" w:hAnsi="仿宋" w:eastAsia="仿宋" w:cs="仿宋"/>
          <w:b/>
          <w:color w:val="000000" w:themeColor="text1"/>
          <w:sz w:val="52"/>
          <w:szCs w:val="52"/>
          <w:highlight w:val="none"/>
          <w:lang w:val="zh-CN"/>
          <w14:textFill>
            <w14:solidFill>
              <w14:schemeClr w14:val="tx1"/>
            </w14:solidFill>
          </w14:textFill>
        </w:rPr>
        <w:t>2025—202</w:t>
      </w:r>
      <w:r>
        <w:rPr>
          <w:rFonts w:hint="eastAsia" w:ascii="仿宋" w:hAnsi="仿宋" w:eastAsia="仿宋" w:cs="仿宋"/>
          <w:b/>
          <w:color w:val="000000" w:themeColor="text1"/>
          <w:sz w:val="52"/>
          <w:szCs w:val="52"/>
          <w:highlight w:val="none"/>
          <w14:textFill>
            <w14:solidFill>
              <w14:schemeClr w14:val="tx1"/>
            </w14:solidFill>
          </w14:textFill>
        </w:rPr>
        <w:t>7</w:t>
      </w:r>
      <w:r>
        <w:rPr>
          <w:rFonts w:hint="eastAsia" w:ascii="仿宋" w:hAnsi="仿宋" w:eastAsia="仿宋" w:cs="仿宋"/>
          <w:b/>
          <w:color w:val="000000" w:themeColor="text1"/>
          <w:sz w:val="52"/>
          <w:szCs w:val="52"/>
          <w:highlight w:val="none"/>
          <w:lang w:val="zh-CN"/>
          <w14:textFill>
            <w14:solidFill>
              <w14:schemeClr w14:val="tx1"/>
            </w14:solidFill>
          </w14:textFill>
        </w:rPr>
        <w:t>年</w:t>
      </w:r>
      <w:r>
        <w:rPr>
          <w:rFonts w:hint="eastAsia" w:ascii="仿宋" w:hAnsi="仿宋" w:eastAsia="仿宋" w:cs="仿宋"/>
          <w:b/>
          <w:color w:val="000000" w:themeColor="text1"/>
          <w:sz w:val="52"/>
          <w:szCs w:val="52"/>
          <w:highlight w:val="none"/>
          <w:lang w:val="en-US" w:eastAsia="zh-CN"/>
          <w14:textFill>
            <w14:solidFill>
              <w14:schemeClr w14:val="tx1"/>
            </w14:solidFill>
          </w14:textFill>
        </w:rPr>
        <w:t>东辰集团住宅物业板块</w:t>
      </w:r>
    </w:p>
    <w:p>
      <w:pPr>
        <w:widowControl/>
        <w:adjustRightInd w:val="0"/>
        <w:snapToGrid w:val="0"/>
        <w:spacing w:line="240" w:lineRule="auto"/>
        <w:ind w:right="105" w:firstLine="0" w:firstLineChars="0"/>
        <w:jc w:val="center"/>
        <w:rPr>
          <w:rFonts w:ascii="仿宋" w:hAnsi="仿宋" w:eastAsia="仿宋" w:cs="仿宋"/>
          <w:b/>
          <w:color w:val="000000" w:themeColor="text1"/>
          <w:sz w:val="52"/>
          <w:szCs w:val="52"/>
          <w:highlight w:val="none"/>
          <w14:textFill>
            <w14:solidFill>
              <w14:schemeClr w14:val="tx1"/>
            </w14:solidFill>
          </w14:textFill>
        </w:rPr>
      </w:pPr>
      <w:r>
        <w:rPr>
          <w:rFonts w:hint="eastAsia" w:ascii="仿宋" w:hAnsi="仿宋" w:eastAsia="仿宋" w:cs="仿宋"/>
          <w:b/>
          <w:color w:val="000000" w:themeColor="text1"/>
          <w:sz w:val="52"/>
          <w:szCs w:val="52"/>
          <w:highlight w:val="none"/>
          <w:lang w:val="zh-CN"/>
          <w14:textFill>
            <w14:solidFill>
              <w14:schemeClr w14:val="tx1"/>
            </w14:solidFill>
          </w14:textFill>
        </w:rPr>
        <w:t>保安服务</w:t>
      </w:r>
      <w:r>
        <w:rPr>
          <w:rFonts w:hint="eastAsia" w:ascii="仿宋" w:hAnsi="仿宋" w:eastAsia="仿宋" w:cs="仿宋"/>
          <w:b/>
          <w:color w:val="000000" w:themeColor="text1"/>
          <w:sz w:val="52"/>
          <w:szCs w:val="52"/>
          <w:highlight w:val="none"/>
          <w14:textFill>
            <w14:solidFill>
              <w14:schemeClr w14:val="tx1"/>
            </w14:solidFill>
          </w14:textFill>
        </w:rPr>
        <w:t>采购</w:t>
      </w:r>
    </w:p>
    <w:p>
      <w:pPr>
        <w:widowControl/>
        <w:adjustRightInd w:val="0"/>
        <w:snapToGrid w:val="0"/>
        <w:ind w:right="105" w:firstLine="1044"/>
        <w:jc w:val="center"/>
        <w:rPr>
          <w:rFonts w:hint="default" w:ascii="仿宋" w:hAnsi="仿宋" w:eastAsia="仿宋" w:cs="仿宋"/>
          <w:b/>
          <w:color w:val="000000" w:themeColor="text1"/>
          <w:sz w:val="52"/>
          <w:szCs w:val="52"/>
          <w:highlight w:val="none"/>
          <w:lang w:val="en-US" w:eastAsia="zh-CN"/>
          <w14:textFill>
            <w14:solidFill>
              <w14:schemeClr w14:val="tx1"/>
            </w14:solidFill>
          </w14:textFill>
        </w:rPr>
      </w:pPr>
      <w:r>
        <w:rPr>
          <w:rFonts w:hint="eastAsia" w:ascii="仿宋" w:hAnsi="仿宋" w:eastAsia="仿宋" w:cs="仿宋"/>
          <w:b/>
          <w:color w:val="000000" w:themeColor="text1"/>
          <w:sz w:val="52"/>
          <w:szCs w:val="52"/>
          <w:highlight w:val="none"/>
          <w:lang w:eastAsia="zh-CN"/>
          <w14:textFill>
            <w14:solidFill>
              <w14:schemeClr w14:val="tx1"/>
            </w14:solidFill>
          </w14:textFill>
        </w:rPr>
        <w:t>（</w:t>
      </w:r>
      <w:r>
        <w:rPr>
          <w:rFonts w:hint="eastAsia" w:ascii="仿宋" w:hAnsi="仿宋" w:eastAsia="仿宋" w:cs="仿宋"/>
          <w:b/>
          <w:color w:val="000000" w:themeColor="text1"/>
          <w:sz w:val="52"/>
          <w:szCs w:val="52"/>
          <w:highlight w:val="none"/>
          <w:lang w:val="en-US" w:eastAsia="zh-CN"/>
          <w14:textFill>
            <w14:solidFill>
              <w14:schemeClr w14:val="tx1"/>
            </w14:solidFill>
          </w14:textFill>
        </w:rPr>
        <w:t>标段二）</w:t>
      </w:r>
    </w:p>
    <w:p>
      <w:pPr>
        <w:widowControl/>
        <w:adjustRightInd w:val="0"/>
        <w:snapToGrid w:val="0"/>
        <w:ind w:right="105" w:firstLine="0" w:firstLineChars="0"/>
        <w:jc w:val="center"/>
        <w:rPr>
          <w:rFonts w:ascii="仿宋" w:hAnsi="仿宋" w:eastAsia="仿宋" w:cs="仿宋"/>
          <w:b/>
          <w:color w:val="000000" w:themeColor="text1"/>
          <w:sz w:val="96"/>
          <w:szCs w:val="96"/>
          <w:highlight w:val="none"/>
          <w14:textFill>
            <w14:solidFill>
              <w14:schemeClr w14:val="tx1"/>
            </w14:solidFill>
          </w14:textFill>
        </w:rPr>
      </w:pPr>
      <w:r>
        <w:rPr>
          <w:rFonts w:hint="eastAsia" w:ascii="仿宋" w:hAnsi="仿宋" w:eastAsia="仿宋" w:cs="仿宋"/>
          <w:b/>
          <w:color w:val="000000" w:themeColor="text1"/>
          <w:sz w:val="96"/>
          <w:szCs w:val="96"/>
          <w:highlight w:val="none"/>
          <w14:textFill>
            <w14:solidFill>
              <w14:schemeClr w14:val="tx1"/>
            </w14:solidFill>
          </w14:textFill>
        </w:rPr>
        <w:t>招</w:t>
      </w:r>
    </w:p>
    <w:p>
      <w:pPr>
        <w:widowControl/>
        <w:adjustRightInd w:val="0"/>
        <w:snapToGrid w:val="0"/>
        <w:ind w:right="105" w:firstLine="0" w:firstLineChars="0"/>
        <w:jc w:val="center"/>
        <w:rPr>
          <w:rFonts w:ascii="仿宋" w:hAnsi="仿宋" w:eastAsia="仿宋" w:cs="仿宋"/>
          <w:b/>
          <w:color w:val="000000" w:themeColor="text1"/>
          <w:sz w:val="96"/>
          <w:szCs w:val="96"/>
          <w:highlight w:val="none"/>
          <w14:textFill>
            <w14:solidFill>
              <w14:schemeClr w14:val="tx1"/>
            </w14:solidFill>
          </w14:textFill>
        </w:rPr>
      </w:pPr>
      <w:r>
        <w:rPr>
          <w:rFonts w:hint="eastAsia" w:ascii="仿宋" w:hAnsi="仿宋" w:eastAsia="仿宋" w:cs="仿宋"/>
          <w:b/>
          <w:color w:val="000000" w:themeColor="text1"/>
          <w:sz w:val="96"/>
          <w:szCs w:val="96"/>
          <w:highlight w:val="none"/>
          <w14:textFill>
            <w14:solidFill>
              <w14:schemeClr w14:val="tx1"/>
            </w14:solidFill>
          </w14:textFill>
        </w:rPr>
        <w:t>标</w:t>
      </w:r>
    </w:p>
    <w:p>
      <w:pPr>
        <w:widowControl/>
        <w:adjustRightInd w:val="0"/>
        <w:snapToGrid w:val="0"/>
        <w:ind w:right="105" w:firstLine="0" w:firstLineChars="0"/>
        <w:jc w:val="center"/>
        <w:rPr>
          <w:rFonts w:ascii="仿宋" w:hAnsi="仿宋" w:eastAsia="仿宋" w:cs="仿宋"/>
          <w:b/>
          <w:color w:val="000000" w:themeColor="text1"/>
          <w:sz w:val="96"/>
          <w:szCs w:val="96"/>
          <w:highlight w:val="none"/>
          <w14:textFill>
            <w14:solidFill>
              <w14:schemeClr w14:val="tx1"/>
            </w14:solidFill>
          </w14:textFill>
        </w:rPr>
      </w:pPr>
      <w:r>
        <w:rPr>
          <w:rFonts w:hint="eastAsia" w:ascii="仿宋" w:hAnsi="仿宋" w:eastAsia="仿宋" w:cs="仿宋"/>
          <w:b/>
          <w:color w:val="000000" w:themeColor="text1"/>
          <w:sz w:val="96"/>
          <w:szCs w:val="96"/>
          <w:highlight w:val="none"/>
          <w14:textFill>
            <w14:solidFill>
              <w14:schemeClr w14:val="tx1"/>
            </w14:solidFill>
          </w14:textFill>
        </w:rPr>
        <w:t>文</w:t>
      </w:r>
    </w:p>
    <w:p>
      <w:pPr>
        <w:widowControl/>
        <w:adjustRightInd w:val="0"/>
        <w:snapToGrid w:val="0"/>
        <w:ind w:right="105" w:firstLine="0" w:firstLineChars="0"/>
        <w:jc w:val="center"/>
        <w:rPr>
          <w:rFonts w:ascii="仿宋" w:hAnsi="仿宋" w:eastAsia="仿宋" w:cs="仿宋"/>
          <w:b/>
          <w:color w:val="000000" w:themeColor="text1"/>
          <w:sz w:val="52"/>
          <w:szCs w:val="52"/>
          <w:highlight w:val="none"/>
          <w14:textFill>
            <w14:solidFill>
              <w14:schemeClr w14:val="tx1"/>
            </w14:solidFill>
          </w14:textFill>
        </w:rPr>
      </w:pPr>
      <w:r>
        <w:rPr>
          <w:rFonts w:hint="eastAsia" w:ascii="仿宋" w:hAnsi="仿宋" w:eastAsia="仿宋" w:cs="仿宋"/>
          <w:b/>
          <w:color w:val="000000" w:themeColor="text1"/>
          <w:sz w:val="96"/>
          <w:szCs w:val="96"/>
          <w:highlight w:val="none"/>
          <w14:textFill>
            <w14:solidFill>
              <w14:schemeClr w14:val="tx1"/>
            </w14:solidFill>
          </w14:textFill>
        </w:rPr>
        <w:t>件</w:t>
      </w:r>
    </w:p>
    <w:p>
      <w:pPr>
        <w:widowControl/>
        <w:tabs>
          <w:tab w:val="left" w:pos="6840"/>
        </w:tabs>
        <w:adjustRightInd w:val="0"/>
        <w:snapToGrid w:val="0"/>
        <w:ind w:right="105" w:firstLine="560"/>
        <w:jc w:val="center"/>
        <w:rPr>
          <w:rFonts w:ascii="仿宋" w:hAnsi="仿宋" w:eastAsia="仿宋" w:cs="仿宋"/>
          <w:color w:val="000000" w:themeColor="text1"/>
          <w:sz w:val="28"/>
          <w:szCs w:val="28"/>
          <w:highlight w:val="none"/>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【2025】年【</w:t>
      </w:r>
      <w:r>
        <w:rPr>
          <w:rFonts w:hint="eastAsia" w:ascii="仿宋" w:hAnsi="仿宋" w:eastAsia="仿宋" w:cs="仿宋"/>
          <w:color w:val="000000" w:themeColor="text1"/>
          <w:sz w:val="28"/>
          <w:szCs w:val="28"/>
          <w:highlight w:val="none"/>
          <w:lang w:val="en-US" w:eastAsia="zh-CN"/>
          <w14:textFill>
            <w14:solidFill>
              <w14:schemeClr w14:val="tx1"/>
            </w14:solidFill>
          </w14:textFill>
        </w:rPr>
        <w:t>4</w:t>
      </w:r>
      <w:r>
        <w:rPr>
          <w:rFonts w:hint="eastAsia" w:ascii="仿宋" w:hAnsi="仿宋" w:eastAsia="仿宋" w:cs="仿宋"/>
          <w:color w:val="000000" w:themeColor="text1"/>
          <w:sz w:val="28"/>
          <w:szCs w:val="28"/>
          <w:highlight w:val="none"/>
          <w14:textFill>
            <w14:solidFill>
              <w14:schemeClr w14:val="tx1"/>
            </w14:solidFill>
          </w14:textFill>
        </w:rPr>
        <w:t>】月</w:t>
      </w:r>
    </w:p>
    <w:p>
      <w:pPr>
        <w:widowControl/>
        <w:tabs>
          <w:tab w:val="left" w:pos="6840"/>
        </w:tabs>
        <w:adjustRightInd w:val="0"/>
        <w:snapToGrid w:val="0"/>
        <w:ind w:right="105" w:firstLine="560"/>
        <w:jc w:val="center"/>
        <w:rPr>
          <w:rFonts w:ascii="仿宋" w:hAnsi="仿宋" w:eastAsia="仿宋" w:cs="仿宋"/>
          <w:color w:val="000000" w:themeColor="text1"/>
          <w:sz w:val="28"/>
          <w:szCs w:val="28"/>
          <w:highlight w:val="none"/>
          <w14:textFill>
            <w14:solidFill>
              <w14:schemeClr w14:val="tx1"/>
            </w14:solidFill>
          </w14:textFill>
        </w:rPr>
      </w:pPr>
    </w:p>
    <w:p>
      <w:pPr>
        <w:ind w:right="105" w:firstLine="0" w:firstLineChars="0"/>
        <w:jc w:val="center"/>
        <w:rPr>
          <w:rFonts w:hint="default" w:ascii="仿宋" w:hAnsi="仿宋" w:eastAsia="仿宋" w:cs="仿宋"/>
          <w:color w:val="000000" w:themeColor="text1"/>
          <w:sz w:val="28"/>
          <w:szCs w:val="28"/>
          <w:highlight w:val="none"/>
          <w:lang w:val="en-US" w:eastAsia="zh-CN"/>
          <w14:textFill>
            <w14:solidFill>
              <w14:schemeClr w14:val="tx1"/>
            </w14:solidFill>
          </w14:textFill>
        </w:rPr>
      </w:pPr>
      <w:r>
        <w:rPr>
          <w:rFonts w:hint="eastAsia" w:ascii="仿宋" w:hAnsi="仿宋" w:eastAsia="仿宋" w:cs="仿宋"/>
          <w:color w:val="000000" w:themeColor="text1"/>
          <w:sz w:val="28"/>
          <w:szCs w:val="28"/>
          <w:highlight w:val="none"/>
          <w14:textFill>
            <w14:solidFill>
              <w14:schemeClr w14:val="tx1"/>
            </w14:solidFill>
          </w14:textFill>
        </w:rPr>
        <w:t>招标人：</w:t>
      </w:r>
      <w:r>
        <w:rPr>
          <w:rFonts w:hint="eastAsia" w:ascii="仿宋" w:hAnsi="仿宋" w:eastAsia="仿宋" w:cs="仿宋"/>
          <w:color w:val="000000" w:themeColor="text1"/>
          <w:sz w:val="28"/>
          <w:szCs w:val="28"/>
          <w:highlight w:val="none"/>
          <w:lang w:val="en-US" w:eastAsia="zh-CN"/>
          <w14:textFill>
            <w14:solidFill>
              <w14:schemeClr w14:val="tx1"/>
            </w14:solidFill>
          </w14:textFill>
        </w:rPr>
        <w:t>四川东辰（集团）股份有限公司</w:t>
      </w:r>
    </w:p>
    <w:p>
      <w:pPr>
        <w:pStyle w:val="10"/>
        <w:ind w:right="105"/>
        <w:rPr>
          <w:color w:val="000000" w:themeColor="text1"/>
          <w:highlight w:val="none"/>
          <w14:textFill>
            <w14:solidFill>
              <w14:schemeClr w14:val="tx1"/>
            </w14:solidFill>
          </w14:textFill>
        </w:rPr>
      </w:pPr>
    </w:p>
    <w:p>
      <w:pPr>
        <w:pStyle w:val="10"/>
        <w:ind w:right="105"/>
        <w:rPr>
          <w:color w:val="000000" w:themeColor="text1"/>
          <w:highlight w:val="none"/>
          <w14:textFill>
            <w14:solidFill>
              <w14:schemeClr w14:val="tx1"/>
            </w14:solidFill>
          </w14:textFill>
        </w:rPr>
      </w:pPr>
    </w:p>
    <w:p>
      <w:pPr>
        <w:pStyle w:val="10"/>
        <w:ind w:right="105"/>
        <w:rPr>
          <w:color w:val="000000" w:themeColor="text1"/>
          <w:highlight w:val="none"/>
          <w14:textFill>
            <w14:solidFill>
              <w14:schemeClr w14:val="tx1"/>
            </w14:solidFill>
          </w14:textFill>
        </w:rPr>
      </w:pPr>
    </w:p>
    <w:p>
      <w:pPr>
        <w:pStyle w:val="19"/>
        <w:tabs>
          <w:tab w:val="right" w:leader="dot" w:pos="8868"/>
          <w:tab w:val="clear" w:pos="8296"/>
        </w:tabs>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9"/>
        <w:tabs>
          <w:tab w:val="right" w:leader="dot" w:pos="8868"/>
          <w:tab w:val="clear" w:pos="8296"/>
        </w:tabs>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9"/>
        <w:tabs>
          <w:tab w:val="right" w:leader="dot" w:pos="8868"/>
          <w:tab w:val="clear" w:pos="8296"/>
        </w:tabs>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9"/>
        <w:tabs>
          <w:tab w:val="right" w:leader="dot" w:pos="8868"/>
          <w:tab w:val="clear" w:pos="8296"/>
        </w:tabs>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目  录</w:t>
      </w:r>
    </w:p>
    <w:p>
      <w:pPr>
        <w:pStyle w:val="19"/>
        <w:tabs>
          <w:tab w:val="right" w:leader="dot" w:pos="8868"/>
          <w:tab w:val="clear" w:pos="8296"/>
        </w:tabs>
        <w:spacing w:before="0" w:after="0" w:line="240" w:lineRule="auto"/>
        <w:ind w:right="105" w:firstLine="0" w:firstLineChars="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9"/>
        <w:tabs>
          <w:tab w:val="right" w:leader="dot" w:pos="8868"/>
          <w:tab w:val="clear" w:pos="8296"/>
        </w:tabs>
        <w:spacing w:before="0" w:after="0" w:line="240" w:lineRule="auto"/>
        <w:ind w:left="0" w:leftChars="0" w:right="0" w:firstLine="0" w:firstLineChars="0"/>
        <w:jc w:val="left"/>
        <w:rPr>
          <w:color w:val="000000" w:themeColor="text1"/>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fldChar w:fldCharType="begin"/>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instrText xml:space="preserve"> TOC \o "1-3" \h \z \u </w:instrTex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fldChar w:fldCharType="separate"/>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"_Toc714"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第一章 招标公告....</w:t>
      </w:r>
      <w:r>
        <w:rPr>
          <w:rFonts w:hint="eastAsia" w:asciiTheme="majorEastAsia" w:hAnsiTheme="majorEastAsia" w:eastAsiaTheme="majorEastAsia" w:cstheme="majorEastAsia"/>
          <w:color w:val="000000" w:themeColor="text1"/>
          <w:szCs w:val="32"/>
          <w:highlight w:val="none"/>
          <w:lang w:val="en-US" w:eastAsia="zh-CN"/>
          <w14:textFill>
            <w14:solidFill>
              <w14:schemeClr w14:val="tx1"/>
            </w14:solidFill>
          </w14:textFill>
        </w:rPr>
        <w:t>.....</w:t>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..3</w:t>
      </w:r>
      <w:r>
        <w:rPr>
          <w:rFonts w:hint="eastAsia"/>
          <w:color w:val="000000" w:themeColor="text1"/>
          <w:highlight w:val="none"/>
          <w14:textFill>
            <w14:solidFill>
              <w14:schemeClr w14:val="tx1"/>
            </w14:solidFill>
          </w14:textFill>
        </w:rPr>
        <w:fldChar w:fldCharType="end"/>
      </w:r>
    </w:p>
    <w:p>
      <w:pPr>
        <w:pStyle w:val="19"/>
        <w:tabs>
          <w:tab w:val="right" w:leader="dot" w:pos="8868"/>
          <w:tab w:val="clear" w:pos="8296"/>
        </w:tabs>
        <w:spacing w:line="240" w:lineRule="auto"/>
        <w:ind w:right="0"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"_Toc26394"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第二章 投标人须知</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_Toc26394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5</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8868"/>
          <w:tab w:val="clear" w:pos="8296"/>
        </w:tabs>
        <w:spacing w:before="0" w:after="0" w:line="240" w:lineRule="auto"/>
        <w:ind w:right="0" w:firstLine="0" w:firstLineChars="0"/>
        <w:jc w:val="left"/>
        <w:rPr>
          <w:rFonts w:eastAsiaTheme="majorEastAsia"/>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"_Toc24115"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第三章 主要采购内容及技术、商务要求</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2</w:t>
      </w:r>
      <w:r>
        <w:rPr>
          <w:rFonts w:hint="eastAsia"/>
          <w:color w:val="000000" w:themeColor="text1"/>
          <w:highlight w:val="none"/>
          <w14:textFill>
            <w14:solidFill>
              <w14:schemeClr w14:val="tx1"/>
            </w14:solidFill>
          </w14:textFill>
        </w:rPr>
        <w:fldChar w:fldCharType="end"/>
      </w: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0</w:t>
      </w:r>
    </w:p>
    <w:p>
      <w:pPr>
        <w:pStyle w:val="19"/>
        <w:tabs>
          <w:tab w:val="right" w:leader="dot" w:pos="8868"/>
          <w:tab w:val="clear" w:pos="8296"/>
        </w:tabs>
        <w:spacing w:line="240" w:lineRule="auto"/>
        <w:ind w:right="0"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"_Toc27520"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第四章 评标办法</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_Toc27520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21</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8868"/>
          <w:tab w:val="clear" w:pos="8296"/>
        </w:tabs>
        <w:spacing w:line="240" w:lineRule="auto"/>
        <w:ind w:right="0" w:firstLine="0" w:firstLineChars="0"/>
        <w:jc w:val="left"/>
        <w:rPr>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"_Toc4031"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第五章 投标文件格式</w:t>
      </w:r>
      <w:r>
        <w:rPr>
          <w:color w:val="000000" w:themeColor="text1"/>
          <w:highlight w:val="none"/>
          <w14:textFill>
            <w14:solidFill>
              <w14:schemeClr w14:val="tx1"/>
            </w14:solidFill>
          </w14:textFill>
        </w:rPr>
        <w:tab/>
      </w: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PAGEREF _Toc4031 \h </w:instrText>
      </w:r>
      <w:r>
        <w:rPr>
          <w:color w:val="000000" w:themeColor="text1"/>
          <w:highlight w:val="none"/>
          <w14:textFill>
            <w14:solidFill>
              <w14:schemeClr w14:val="tx1"/>
            </w14:solidFill>
          </w14:textFill>
        </w:rPr>
        <w:fldChar w:fldCharType="separate"/>
      </w:r>
      <w:r>
        <w:rPr>
          <w:color w:val="000000" w:themeColor="text1"/>
          <w:highlight w:val="none"/>
          <w14:textFill>
            <w14:solidFill>
              <w14:schemeClr w14:val="tx1"/>
            </w14:solidFill>
          </w14:textFill>
        </w:rPr>
        <w:t>30</w:t>
      </w:r>
      <w:r>
        <w:rPr>
          <w:color w:val="000000" w:themeColor="text1"/>
          <w:highlight w:val="none"/>
          <w14:textFill>
            <w14:solidFill>
              <w14:schemeClr w14:val="tx1"/>
            </w14:solidFill>
          </w14:textFill>
        </w:rPr>
        <w:fldChar w:fldCharType="end"/>
      </w:r>
      <w:r>
        <w:rPr>
          <w:color w:val="000000" w:themeColor="text1"/>
          <w:highlight w:val="none"/>
          <w14:textFill>
            <w14:solidFill>
              <w14:schemeClr w14:val="tx1"/>
            </w14:solidFill>
          </w14:textFill>
        </w:rPr>
        <w:fldChar w:fldCharType="end"/>
      </w:r>
    </w:p>
    <w:p>
      <w:pPr>
        <w:pStyle w:val="19"/>
        <w:tabs>
          <w:tab w:val="right" w:leader="dot" w:pos="8868"/>
          <w:tab w:val="clear" w:pos="8296"/>
        </w:tabs>
        <w:spacing w:line="240" w:lineRule="auto"/>
        <w:ind w:right="0" w:firstLine="0" w:firstLineChars="0"/>
        <w:jc w:val="left"/>
        <w:rPr>
          <w:rFonts w:eastAsiaTheme="majorEastAsia"/>
          <w:color w:val="000000" w:themeColor="text1"/>
          <w:highlight w:val="none"/>
          <w14:textFill>
            <w14:solidFill>
              <w14:schemeClr w14:val="tx1"/>
            </w14:solidFill>
          </w14:textFill>
        </w:rPr>
      </w:pPr>
      <w:r>
        <w:rPr>
          <w:color w:val="000000" w:themeColor="text1"/>
          <w:highlight w:val="none"/>
          <w14:textFill>
            <w14:solidFill>
              <w14:schemeClr w14:val="tx1"/>
            </w14:solidFill>
          </w14:textFill>
        </w:rPr>
        <w:fldChar w:fldCharType="begin"/>
      </w:r>
      <w:r>
        <w:rPr>
          <w:color w:val="000000" w:themeColor="text1"/>
          <w:highlight w:val="none"/>
          <w14:textFill>
            <w14:solidFill>
              <w14:schemeClr w14:val="tx1"/>
            </w14:solidFill>
          </w14:textFill>
        </w:rPr>
        <w:instrText xml:space="preserve"> HYPERLINK \l "_Toc4796" </w:instrText>
      </w:r>
      <w:r>
        <w:rPr>
          <w:color w:val="000000" w:themeColor="text1"/>
          <w:highlight w:val="none"/>
          <w14:textFill>
            <w14:solidFill>
              <w14:schemeClr w14:val="tx1"/>
            </w14:solidFill>
          </w14:textFill>
        </w:rPr>
        <w:fldChar w:fldCharType="separate"/>
      </w:r>
      <w:r>
        <w:rPr>
          <w:rFonts w:hint="eastAsia" w:asciiTheme="majorEastAsia" w:hAnsiTheme="majorEastAsia" w:eastAsiaTheme="majorEastAsia" w:cstheme="majorEastAsia"/>
          <w:color w:val="000000" w:themeColor="text1"/>
          <w:szCs w:val="32"/>
          <w:highlight w:val="none"/>
          <w14:textFill>
            <w14:solidFill>
              <w14:schemeClr w14:val="tx1"/>
            </w14:solidFill>
          </w14:textFill>
        </w:rPr>
        <w:t>第六章 合同主要条款（含考核标准，参考文本）</w:t>
      </w:r>
      <w:r>
        <w:rPr>
          <w:color w:val="000000" w:themeColor="text1"/>
          <w:highlight w:val="none"/>
          <w14:textFill>
            <w14:solidFill>
              <w14:schemeClr w14:val="tx1"/>
            </w14:solidFill>
          </w14:textFill>
        </w:rPr>
        <w:tab/>
      </w:r>
      <w:r>
        <w:rPr>
          <w:rFonts w:hint="eastAsia"/>
          <w:color w:val="000000" w:themeColor="text1"/>
          <w:highlight w:val="none"/>
          <w14:textFill>
            <w14:solidFill>
              <w14:schemeClr w14:val="tx1"/>
            </w14:solidFill>
          </w14:textFill>
        </w:rPr>
        <w:t>4</w:t>
      </w:r>
      <w:r>
        <w:rPr>
          <w:rFonts w:hint="eastAsia"/>
          <w:color w:val="000000" w:themeColor="text1"/>
          <w:highlight w:val="none"/>
          <w14:textFill>
            <w14:solidFill>
              <w14:schemeClr w14:val="tx1"/>
            </w14:solidFill>
          </w14:textFill>
        </w:rPr>
        <w:fldChar w:fldCharType="end"/>
      </w: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2</w:t>
      </w:r>
    </w:p>
    <w:p>
      <w:pPr>
        <w:spacing w:line="240" w:lineRule="auto"/>
        <w:ind w:right="0" w:firstLine="0" w:firstLineChars="0"/>
        <w:jc w:val="center"/>
        <w:outlineLvl w:val="0"/>
        <w:rPr>
          <w:rFonts w:hint="eastAsia" w:asciiTheme="majorEastAsia" w:hAnsiTheme="majorEastAsia" w:eastAsiaTheme="majorEastAsia" w:cstheme="majorEastAsia"/>
          <w:color w:val="000000" w:themeColor="text1"/>
          <w:szCs w:val="24"/>
          <w:highlight w:val="none"/>
          <w:lang w:eastAsia="zh-CN"/>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fldChar w:fldCharType="end"/>
      </w: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rFonts w:asciiTheme="majorEastAsia" w:hAnsiTheme="majorEastAsia" w:eastAsiaTheme="majorEastAsia" w:cstheme="majorEastAsia"/>
          <w:color w:val="000000" w:themeColor="text1"/>
          <w:szCs w:val="24"/>
          <w:highlight w:val="none"/>
          <w14:textFill>
            <w14:solidFill>
              <w14:schemeClr w14:val="tx1"/>
            </w14:solidFill>
          </w14:textFill>
        </w:rPr>
      </w:pPr>
    </w:p>
    <w:p>
      <w:pPr>
        <w:pStyle w:val="10"/>
        <w:ind w:right="105"/>
        <w:rPr>
          <w:rFonts w:asciiTheme="majorEastAsia" w:hAnsiTheme="majorEastAsia" w:eastAsiaTheme="majorEastAsia" w:cstheme="majorEastAsia"/>
          <w:color w:val="000000" w:themeColor="text1"/>
          <w:highlight w:val="none"/>
          <w14:textFill>
            <w14:solidFill>
              <w14:schemeClr w14:val="tx1"/>
            </w14:solidFill>
          </w14:textFill>
        </w:rPr>
      </w:pPr>
    </w:p>
    <w:p>
      <w:pPr>
        <w:ind w:right="105" w:firstLine="680"/>
        <w:rPr>
          <w:color w:val="000000" w:themeColor="text1"/>
          <w:highlight w:val="none"/>
          <w14:textFill>
            <w14:solidFill>
              <w14:schemeClr w14:val="tx1"/>
            </w14:solidFill>
          </w14:textFill>
        </w:rPr>
      </w:pPr>
    </w:p>
    <w:p>
      <w:pPr>
        <w:ind w:right="105" w:firstLine="0" w:firstLineChars="0"/>
        <w:jc w:val="center"/>
        <w:outlineLvl w:val="0"/>
        <w:rPr>
          <w:rFonts w:asciiTheme="majorEastAsia" w:hAnsiTheme="majorEastAsia" w:eastAsiaTheme="majorEastAsia" w:cstheme="majorEastAsia"/>
          <w:b/>
          <w:bCs/>
          <w:color w:val="000000" w:themeColor="text1"/>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第一章 招标公告</w:t>
      </w:r>
      <w:bookmarkEnd w:id="0"/>
    </w:p>
    <w:p>
      <w:pPr>
        <w:ind w:right="105" w:firstLine="480"/>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拟对</w:t>
      </w:r>
      <w:r>
        <w:rPr>
          <w:rFonts w:hint="eastAsia" w:asciiTheme="majorEastAsia" w:hAnsiTheme="majorEastAsia" w:eastAsiaTheme="majorEastAsia" w:cstheme="majorEastAsia"/>
          <w:color w:val="000000" w:themeColor="text1"/>
          <w:sz w:val="24"/>
          <w:szCs w:val="24"/>
          <w:highlight w:val="none"/>
          <w:lang w:val="zh-CN" w:eastAsia="zh-CN"/>
          <w14:textFill>
            <w14:solidFill>
              <w14:schemeClr w14:val="tx1"/>
            </w14:solidFill>
          </w14:textFill>
        </w:rPr>
        <w:t>四川东辰（集团）股份有限公司</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2025—2027年</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东辰集团住宅板块</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保安服务</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采购</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以邀请招标方式进行采购，兹邀请符合本次招标要求的投标人参加投标。</w:t>
      </w:r>
    </w:p>
    <w:p>
      <w:pPr>
        <w:ind w:right="105" w:firstLine="480"/>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一、采购项目基本情况：</w:t>
      </w:r>
    </w:p>
    <w:p>
      <w:pPr>
        <w:ind w:right="105" w:firstLine="480"/>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1、项目名称：2025—2027年</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东辰集团住宅物业板块</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保安服务</w:t>
      </w:r>
    </w:p>
    <w:p>
      <w:pPr>
        <w:ind w:right="105" w:firstLine="480"/>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2、招标人：</w:t>
      </w:r>
      <w:r>
        <w:rPr>
          <w:rFonts w:hint="eastAsia" w:asciiTheme="majorEastAsia" w:hAnsiTheme="majorEastAsia" w:eastAsiaTheme="majorEastAsia" w:cstheme="majorEastAsia"/>
          <w:color w:val="000000" w:themeColor="text1"/>
          <w:sz w:val="24"/>
          <w:szCs w:val="24"/>
          <w:highlight w:val="none"/>
          <w:lang w:val="zh-CN" w:eastAsia="zh-CN"/>
          <w14:textFill>
            <w14:solidFill>
              <w14:schemeClr w14:val="tx1"/>
            </w14:solidFill>
          </w14:textFill>
        </w:rPr>
        <w:t>四川东辰（集团）股份有限公司</w:t>
      </w:r>
    </w:p>
    <w:p>
      <w:pPr>
        <w:widowControl/>
        <w:ind w:right="105" w:firstLine="470" w:firstLineChars="196"/>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二、资金来源：</w:t>
      </w:r>
    </w:p>
    <w:p>
      <w:pPr>
        <w:widowControl/>
        <w:ind w:right="105" w:firstLine="470" w:firstLineChars="196"/>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招标项目企业自筹资金，</w:t>
      </w:r>
      <w:r>
        <w:rPr>
          <w:rFonts w:hint="eastAsia" w:asciiTheme="majorEastAsia" w:hAnsiTheme="majorEastAsia" w:eastAsiaTheme="majorEastAsia" w:cstheme="majorEastAsia"/>
          <w:bCs/>
          <w:color w:val="000000" w:themeColor="text1"/>
          <w:sz w:val="24"/>
          <w:szCs w:val="24"/>
          <w:highlight w:val="none"/>
          <w:lang w:val="zh-TW" w:eastAsia="zh-TW"/>
          <w14:textFill>
            <w14:solidFill>
              <w14:schemeClr w14:val="tx1"/>
            </w14:solidFill>
          </w14:textFill>
        </w:rPr>
        <w:t>出资比例为100%</w:t>
      </w:r>
      <w:r>
        <w:rPr>
          <w:rFonts w:hint="eastAsia" w:asciiTheme="majorEastAsia" w:hAnsiTheme="majorEastAsia" w:eastAsiaTheme="majorEastAsia" w:cstheme="majorEastAsia"/>
          <w:bCs/>
          <w:color w:val="000000" w:themeColor="text1"/>
          <w:sz w:val="24"/>
          <w:szCs w:val="24"/>
          <w:highlight w:val="none"/>
          <w:lang w:val="zh-TW"/>
          <w14:textFill>
            <w14:solidFill>
              <w14:schemeClr w14:val="tx1"/>
            </w14:solidFill>
          </w14:textFill>
        </w:rPr>
        <w:t>，资金已落实</w:t>
      </w: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w:t>
      </w:r>
    </w:p>
    <w:p>
      <w:pPr>
        <w:widowControl/>
        <w:ind w:right="105" w:firstLine="470" w:firstLineChars="196"/>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三、项目概况：</w:t>
      </w:r>
    </w:p>
    <w:p>
      <w:pPr>
        <w:pStyle w:val="102"/>
        <w:spacing w:line="520" w:lineRule="exact"/>
        <w:ind w:firstLine="480"/>
        <w:rPr>
          <w:rFonts w:ascii="宋体" w:hAnsi="宋体" w:eastAsia="宋体" w:cs="宋体"/>
          <w:bCs/>
          <w:color w:val="000000" w:themeColor="text1"/>
          <w:kern w:val="0"/>
          <w:sz w:val="24"/>
          <w:szCs w:val="24"/>
          <w:highlight w:val="none"/>
          <w:lang w:val="zh-TW" w:eastAsia="zh-TW"/>
          <w14:textFill>
            <w14:solidFill>
              <w14:schemeClr w14:val="tx1"/>
            </w14:solidFill>
          </w14:textFill>
        </w:rPr>
      </w:pP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2025—2027年</w:t>
      </w:r>
      <w:r>
        <w:rPr>
          <w:rFonts w:hint="eastAsia" w:asciiTheme="majorEastAsia" w:hAnsiTheme="majorEastAsia" w:eastAsiaTheme="majorEastAsia" w:cstheme="majorEastAsia"/>
          <w:color w:val="000000" w:themeColor="text1"/>
          <w:kern w:val="0"/>
          <w:sz w:val="24"/>
          <w:szCs w:val="24"/>
          <w:highlight w:val="none"/>
          <w:lang w:val="zh-TW" w:eastAsia="zh-TW" w:bidi="ar-SA"/>
          <w14:textFill>
            <w14:solidFill>
              <w14:schemeClr w14:val="tx1"/>
            </w14:solidFill>
          </w14:textFill>
        </w:rPr>
        <w:t>东辰集团</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住宅物业</w:t>
      </w:r>
      <w:r>
        <w:rPr>
          <w:rFonts w:hint="eastAsia" w:asciiTheme="majorEastAsia" w:hAnsiTheme="majorEastAsia" w:eastAsiaTheme="majorEastAsia" w:cstheme="majorEastAsia"/>
          <w:color w:val="000000" w:themeColor="text1"/>
          <w:kern w:val="0"/>
          <w:sz w:val="24"/>
          <w:szCs w:val="24"/>
          <w:highlight w:val="none"/>
          <w:lang w:val="zh-TW" w:eastAsia="zh-TW" w:bidi="ar-SA"/>
          <w14:textFill>
            <w14:solidFill>
              <w14:schemeClr w14:val="tx1"/>
            </w14:solidFill>
          </w14:textFill>
        </w:rPr>
        <w:t>板块</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保安服务</w:t>
      </w:r>
      <w:r>
        <w:rPr>
          <w:rFonts w:hint="eastAsia" w:ascii="宋体" w:hAnsi="宋体" w:eastAsia="宋体" w:cs="宋体"/>
          <w:bCs/>
          <w:color w:val="000000" w:themeColor="text1"/>
          <w:kern w:val="0"/>
          <w:sz w:val="24"/>
          <w:szCs w:val="24"/>
          <w:highlight w:val="none"/>
          <w:lang w:val="en-US" w:eastAsia="zh-CN"/>
          <w14:textFill>
            <w14:solidFill>
              <w14:schemeClr w14:val="tx1"/>
            </w14:solidFill>
          </w14:textFill>
        </w:rPr>
        <w:t>采购</w:t>
      </w:r>
      <w:r>
        <w:rPr>
          <w:rFonts w:ascii="宋体" w:hAnsi="宋体" w:eastAsia="宋体" w:cs="宋体"/>
          <w:bCs/>
          <w:color w:val="000000" w:themeColor="text1"/>
          <w:kern w:val="0"/>
          <w:sz w:val="24"/>
          <w:szCs w:val="24"/>
          <w:highlight w:val="none"/>
          <w:lang w:val="zh-TW" w:eastAsia="zh-TW"/>
          <w14:textFill>
            <w14:solidFill>
              <w14:schemeClr w14:val="tx1"/>
            </w14:solidFill>
          </w14:textFill>
        </w:rPr>
        <w:t>，本次招标详细要求见招标文件第三章。</w:t>
      </w:r>
    </w:p>
    <w:p>
      <w:pPr>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四、投标人应具备的资格条件：</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1、投标人应是</w:t>
      </w:r>
      <w:r>
        <w:rPr>
          <w:rFonts w:hint="eastAsia" w:asciiTheme="majorEastAsia" w:hAnsiTheme="majorEastAsia" w:eastAsiaTheme="majorEastAsia" w:cstheme="majorEastAsia"/>
          <w:bCs/>
          <w:color w:val="000000" w:themeColor="text1"/>
          <w:kern w:val="0"/>
          <w:sz w:val="24"/>
          <w:szCs w:val="24"/>
          <w:highlight w:val="none"/>
          <w:lang w:val="en-US" w:eastAsia="zh-CN"/>
          <w14:textFill>
            <w14:solidFill>
              <w14:schemeClr w14:val="tx1"/>
            </w14:solidFill>
          </w14:textFill>
        </w:rPr>
        <w:t>四川省绵阳市</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境内注册，具有独立法人资格的企业；</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2、具有良好的商业信誉和健全的财务会计制度；</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3、具有履行合同</w:t>
      </w:r>
      <w:r>
        <w:rPr>
          <w:rFonts w:hint="eastAsia"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t>所必需的</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设备和专业技术能力；</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4、具有依法缴纳税收和社会保障资金的良好记录；</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5、参加采购活动前三年内，在经营活动中没有重大违法记录；</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6、</w:t>
      </w:r>
      <w:r>
        <w:rPr>
          <w:rFonts w:hint="eastAsia"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t>法律、行政法规规定的其他条件包括但不限于保安服务许可证和无失信记录</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14:textFill>
            <w14:solidFill>
              <w14:schemeClr w14:val="tx1"/>
            </w14:solidFill>
          </w14:textFill>
        </w:rPr>
        <w:t>7</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、本项目不允许联合体投标</w:t>
      </w:r>
      <w:r>
        <w:rPr>
          <w:rFonts w:hint="eastAsia" w:asciiTheme="majorEastAsia" w:hAnsiTheme="majorEastAsia" w:eastAsiaTheme="majorEastAsia" w:cstheme="majorEastAsia"/>
          <w:bCs/>
          <w:color w:val="000000" w:themeColor="text1"/>
          <w:kern w:val="0"/>
          <w:sz w:val="24"/>
          <w:szCs w:val="24"/>
          <w:highlight w:val="none"/>
          <w14:textFill>
            <w14:solidFill>
              <w14:schemeClr w14:val="tx1"/>
            </w14:solidFill>
          </w14:textFill>
        </w:rPr>
        <w:t>；</w:t>
      </w:r>
    </w:p>
    <w:p>
      <w:pPr>
        <w:pStyle w:val="102"/>
        <w:spacing w:line="360" w:lineRule="auto"/>
        <w:ind w:firstLine="480"/>
        <w:rPr>
          <w:rFonts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14:textFill>
            <w14:solidFill>
              <w14:schemeClr w14:val="tx1"/>
            </w14:solidFill>
          </w14:textFill>
        </w:rPr>
        <w:t>8</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w:t>
      </w:r>
      <w:r>
        <w:rPr>
          <w:rFonts w:hint="eastAsia"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t>根据采购项目的特殊要求规定投标人特定条件：提供公安部门核发的在有效期内的《保安服务许可证》</w:t>
      </w:r>
      <w:r>
        <w:rPr>
          <w:rFonts w:hint="eastAsia" w:asciiTheme="majorEastAsia" w:hAnsiTheme="majorEastAsia" w:eastAsiaTheme="majorEastAsia" w:cstheme="majorEastAsia"/>
          <w:bCs/>
          <w:color w:val="000000" w:themeColor="text1"/>
          <w:kern w:val="0"/>
          <w:sz w:val="24"/>
          <w:szCs w:val="24"/>
          <w:highlight w:val="none"/>
          <w:lang w:val="zh-TW" w:eastAsia="zh-CN"/>
          <w14:textFill>
            <w14:solidFill>
              <w14:schemeClr w14:val="tx1"/>
            </w14:solidFill>
          </w14:textFill>
        </w:rPr>
        <w:t>。</w:t>
      </w:r>
      <w:r>
        <w:rPr>
          <w:rFonts w:hint="default" w:ascii="宋体" w:hAnsi="宋体" w:eastAsia="宋体" w:cs="宋体"/>
          <w:bCs/>
          <w:color w:val="000000" w:themeColor="text1"/>
          <w:kern w:val="0"/>
          <w:sz w:val="24"/>
          <w:szCs w:val="24"/>
          <w:highlight w:val="none"/>
          <w:lang w:val="en-US"/>
          <w14:textFill>
            <w14:solidFill>
              <w14:schemeClr w14:val="tx1"/>
            </w14:solidFill>
          </w14:textFill>
        </w:rPr>
        <w:t>合同履行期内，《保安服务许可证》和《劳务派遣经营许可证》须系</w:t>
      </w:r>
      <w:r>
        <w:rPr>
          <w:rFonts w:hint="eastAsia" w:ascii="宋体" w:hAnsi="宋体" w:eastAsia="宋体" w:cs="宋体"/>
          <w:bCs/>
          <w:color w:val="000000" w:themeColor="text1"/>
          <w:kern w:val="0"/>
          <w:sz w:val="24"/>
          <w:szCs w:val="24"/>
          <w:highlight w:val="none"/>
          <w:lang w:val="zh-TW"/>
          <w14:textFill>
            <w14:solidFill>
              <w14:schemeClr w14:val="tx1"/>
            </w14:solidFill>
          </w14:textFill>
        </w:rPr>
        <w:t>有效</w:t>
      </w:r>
      <w:r>
        <w:rPr>
          <w:rFonts w:hint="default" w:ascii="宋体" w:hAnsi="宋体" w:eastAsia="宋体" w:cs="宋体"/>
          <w:bCs/>
          <w:color w:val="000000" w:themeColor="text1"/>
          <w:kern w:val="0"/>
          <w:sz w:val="24"/>
          <w:szCs w:val="24"/>
          <w:highlight w:val="none"/>
          <w:lang w:val="en-US"/>
          <w14:textFill>
            <w14:solidFill>
              <w14:schemeClr w14:val="tx1"/>
            </w14:solidFill>
          </w14:textFill>
        </w:rPr>
        <w:t>状态</w:t>
      </w:r>
      <w:r>
        <w:rPr>
          <w:rFonts w:hint="eastAsia" w:ascii="宋体" w:hAnsi="宋体" w:eastAsia="宋体" w:cs="宋体"/>
          <w:bCs/>
          <w:color w:val="000000" w:themeColor="text1"/>
          <w:kern w:val="0"/>
          <w:sz w:val="24"/>
          <w:szCs w:val="24"/>
          <w:highlight w:val="none"/>
          <w:lang w:val="zh-TW"/>
          <w14:textFill>
            <w14:solidFill>
              <w14:schemeClr w14:val="tx1"/>
            </w14:solidFill>
          </w14:textFill>
        </w:rPr>
        <w:t>，</w:t>
      </w:r>
      <w:r>
        <w:rPr>
          <w:rFonts w:hint="default" w:ascii="宋体" w:hAnsi="宋体" w:eastAsia="宋体" w:cs="宋体"/>
          <w:bCs/>
          <w:color w:val="000000" w:themeColor="text1"/>
          <w:kern w:val="0"/>
          <w:sz w:val="24"/>
          <w:szCs w:val="24"/>
          <w:highlight w:val="none"/>
          <w:lang w:val="en-US"/>
          <w14:textFill>
            <w14:solidFill>
              <w14:schemeClr w14:val="tx1"/>
            </w14:solidFill>
          </w14:textFill>
        </w:rPr>
        <w:t>否则所签合同自动解除</w:t>
      </w:r>
      <w:r>
        <w:rPr>
          <w:rFonts w:hint="default" w:ascii="宋体" w:hAnsi="宋体" w:cs="宋体"/>
          <w:bCs/>
          <w:color w:val="000000" w:themeColor="text1"/>
          <w:kern w:val="0"/>
          <w:sz w:val="24"/>
          <w:szCs w:val="24"/>
          <w:highlight w:val="none"/>
          <w:lang w:val="en-US"/>
          <w14:textFill>
            <w14:solidFill>
              <w14:schemeClr w14:val="tx1"/>
            </w14:solidFill>
          </w14:textFill>
        </w:rPr>
        <w:t>，</w:t>
      </w:r>
      <w:r>
        <w:rPr>
          <w:rFonts w:hint="eastAsia" w:ascii="宋体" w:hAnsi="宋体" w:cs="宋体"/>
          <w:bCs/>
          <w:color w:val="000000" w:themeColor="text1"/>
          <w:kern w:val="0"/>
          <w:sz w:val="24"/>
          <w:szCs w:val="24"/>
          <w:highlight w:val="none"/>
          <w:lang w:val="en-US" w:eastAsia="zh-CN"/>
          <w14:textFill>
            <w14:solidFill>
              <w14:schemeClr w14:val="tx1"/>
            </w14:solidFill>
          </w14:textFill>
        </w:rPr>
        <w:t>招标采购单位不因此承担违约责任，</w:t>
      </w:r>
      <w:r>
        <w:rPr>
          <w:rFonts w:hint="default" w:ascii="宋体" w:hAnsi="宋体" w:cs="宋体"/>
          <w:bCs/>
          <w:color w:val="000000" w:themeColor="text1"/>
          <w:kern w:val="0"/>
          <w:sz w:val="24"/>
          <w:szCs w:val="24"/>
          <w:highlight w:val="none"/>
          <w:lang w:val="en-US"/>
          <w14:textFill>
            <w14:solidFill>
              <w14:schemeClr w14:val="tx1"/>
            </w14:solidFill>
          </w14:textFill>
        </w:rPr>
        <w:t>中标单位承担相应违约和赔偿责任</w:t>
      </w:r>
      <w:r>
        <w:rPr>
          <w:rFonts w:hint="default" w:ascii="宋体" w:hAnsi="宋体" w:eastAsia="宋体" w:cs="宋体"/>
          <w:bCs/>
          <w:color w:val="000000" w:themeColor="text1"/>
          <w:kern w:val="0"/>
          <w:sz w:val="24"/>
          <w:szCs w:val="24"/>
          <w:highlight w:val="none"/>
          <w:lang w:val="en-US"/>
          <w14:textFill>
            <w14:solidFill>
              <w14:schemeClr w14:val="tx1"/>
            </w14:solidFill>
          </w14:textFill>
        </w:rPr>
        <w:t>。</w:t>
      </w:r>
    </w:p>
    <w:p>
      <w:pPr>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五、具有以下情形之一的投标人，禁止参加本次投标：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1、截止到本项目投标截止时间，投标人处于行业单位投标限制期内的；</w:t>
      </w:r>
    </w:p>
    <w:p>
      <w:pPr>
        <w:pStyle w:val="102"/>
        <w:spacing w:line="520" w:lineRule="exact"/>
        <w:ind w:firstLine="480"/>
        <w:rPr>
          <w:rFonts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pP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2、</w:t>
      </w:r>
      <w:r>
        <w:rPr>
          <w:rFonts w:hint="eastAsia"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t>截止到本</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项目投标截止时间，投标人被列入“国家企业信用信息公示系统”网站中严重违法失信企业名单（黑名单）信息；</w:t>
      </w:r>
      <w:r>
        <w:rPr>
          <w:rFonts w:hint="eastAsia" w:asciiTheme="majorEastAsia" w:hAnsiTheme="majorEastAsia" w:eastAsiaTheme="majorEastAsia" w:cstheme="majorEastAsia"/>
          <w:bCs/>
          <w:color w:val="000000" w:themeColor="text1"/>
          <w:kern w:val="0"/>
          <w:sz w:val="24"/>
          <w:szCs w:val="24"/>
          <w:highlight w:val="none"/>
          <w:lang w:val="zh-TW"/>
          <w14:textFill>
            <w14:solidFill>
              <w14:schemeClr w14:val="tx1"/>
            </w14:solidFill>
          </w14:textFill>
        </w:rPr>
        <w:t>202</w:t>
      </w:r>
      <w:r>
        <w:rPr>
          <w:rFonts w:hint="eastAsia" w:asciiTheme="majorEastAsia" w:hAnsiTheme="majorEastAsia" w:eastAsiaTheme="majorEastAsia" w:cstheme="majorEastAsia"/>
          <w:bCs/>
          <w:color w:val="000000" w:themeColor="text1"/>
          <w:kern w:val="0"/>
          <w:sz w:val="24"/>
          <w:szCs w:val="24"/>
          <w:highlight w:val="none"/>
          <w14:textFill>
            <w14:solidFill>
              <w14:schemeClr w14:val="tx1"/>
            </w14:solidFill>
          </w14:textFill>
        </w:rPr>
        <w:t>2</w:t>
      </w:r>
      <w:r>
        <w:rPr>
          <w:rFonts w:hint="eastAsia" w:asciiTheme="majorEastAsia" w:hAnsiTheme="majorEastAsia" w:eastAsiaTheme="majorEastAsia" w:cstheme="majorEastAsia"/>
          <w:bCs/>
          <w:color w:val="000000" w:themeColor="text1"/>
          <w:kern w:val="0"/>
          <w:sz w:val="24"/>
          <w:szCs w:val="24"/>
          <w:highlight w:val="none"/>
          <w:lang w:val="zh-TW" w:eastAsia="zh-TW"/>
          <w14:textFill>
            <w14:solidFill>
              <w14:schemeClr w14:val="tx1"/>
            </w14:solidFill>
          </w14:textFill>
        </w:rPr>
        <w:t>年1月1日以来，在“中国裁判文书网”网站显示有行贿行为记录的投标人或党政纪处分决定书认定的涉及行贿行为的投标人。</w:t>
      </w:r>
    </w:p>
    <w:p>
      <w:pPr>
        <w:ind w:right="105" w:firstLine="480"/>
        <w:rPr>
          <w:rFonts w:asciiTheme="majorEastAsia" w:hAnsiTheme="majorEastAsia" w:eastAsiaTheme="majorEastAsia" w:cstheme="majorEastAsia"/>
          <w:color w:val="000000" w:themeColor="text1"/>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3、投标人具有招标文件规定的其他禁止投标情形的。</w:t>
      </w:r>
    </w:p>
    <w:p>
      <w:pPr>
        <w:widowControl/>
        <w:ind w:right="105" w:firstLine="482"/>
        <w:jc w:val="left"/>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六、</w:t>
      </w:r>
      <w:r>
        <w:rPr>
          <w:rFonts w:hint="default" w:ascii="宋体" w:hAnsi="宋体" w:eastAsia="宋体" w:cs="宋体"/>
          <w:b/>
          <w:color w:val="000000" w:themeColor="text1"/>
          <w:sz w:val="24"/>
          <w:szCs w:val="24"/>
          <w:highlight w:val="none"/>
          <w:lang w:val="en-US"/>
          <w14:textFill>
            <w14:solidFill>
              <w14:schemeClr w14:val="tx1"/>
            </w14:solidFill>
          </w14:textFill>
        </w:rPr>
        <w:t>特别提示：</w:t>
      </w:r>
      <w:r>
        <w:rPr>
          <w:rFonts w:hint="eastAsia" w:ascii="宋体" w:hAnsi="宋体" w:eastAsia="宋体" w:cs="宋体"/>
          <w:b/>
          <w:color w:val="000000" w:themeColor="text1"/>
          <w:sz w:val="24"/>
          <w:szCs w:val="24"/>
          <w:highlight w:val="none"/>
          <w14:textFill>
            <w14:solidFill>
              <w14:schemeClr w14:val="tx1"/>
            </w14:solidFill>
          </w14:textFill>
        </w:rPr>
        <w:t>本项目不接受联合体投标</w:t>
      </w:r>
      <w:r>
        <w:rPr>
          <w:rFonts w:hint="default" w:ascii="宋体" w:hAnsi="宋体" w:cs="宋体"/>
          <w:b/>
          <w:color w:val="000000" w:themeColor="text1"/>
          <w:sz w:val="24"/>
          <w:szCs w:val="24"/>
          <w:highlight w:val="none"/>
          <w:lang w:val="en-US"/>
          <w14:textFill>
            <w14:solidFill>
              <w14:schemeClr w14:val="tx1"/>
            </w14:solidFill>
          </w14:textFill>
        </w:rPr>
        <w:t>，本项目禁止转包和分包</w:t>
      </w:r>
      <w:r>
        <w:rPr>
          <w:rFonts w:hint="eastAsia" w:ascii="宋体" w:hAnsi="宋体" w:eastAsia="宋体" w:cs="宋体"/>
          <w:b/>
          <w:color w:val="000000" w:themeColor="text1"/>
          <w:sz w:val="24"/>
          <w:szCs w:val="24"/>
          <w:highlight w:val="none"/>
          <w14:textFill>
            <w14:solidFill>
              <w14:schemeClr w14:val="tx1"/>
            </w14:solidFill>
          </w14:textFill>
        </w:rPr>
        <w:t>。</w:t>
      </w:r>
    </w:p>
    <w:p>
      <w:pPr>
        <w:pStyle w:val="11"/>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七、</w:t>
      </w:r>
      <w:r>
        <w:rPr>
          <w:rFonts w:hint="eastAsia" w:asciiTheme="majorEastAsia" w:hAnsiTheme="majorEastAsia" w:eastAsiaTheme="majorEastAsia" w:cstheme="majorEastAsia"/>
          <w:b/>
          <w:color w:val="000000" w:themeColor="text1"/>
          <w:sz w:val="24"/>
          <w:szCs w:val="24"/>
          <w:highlight w:val="none"/>
          <w:lang w:val="en-US" w:eastAsia="zh-CN"/>
          <w14:textFill>
            <w14:solidFill>
              <w14:schemeClr w14:val="tx1"/>
            </w14:solidFill>
          </w14:textFill>
        </w:rPr>
        <w:t>报名</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时间：</w:t>
      </w:r>
    </w:p>
    <w:p>
      <w:pPr>
        <w:pStyle w:val="44"/>
        <w:spacing w:line="360" w:lineRule="auto"/>
        <w:ind w:firstLine="480" w:firstLineChars="200"/>
        <w:rPr>
          <w:rFonts w:asciiTheme="majorEastAsia" w:hAnsiTheme="majorEastAsia" w:eastAsiaTheme="majorEastAsia" w:cstheme="majorEastAsia"/>
          <w:snapToGrid w:val="0"/>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自</w:t>
      </w:r>
      <w:bookmarkStart w:id="1" w:name="OLE_LINK7"/>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2025年</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4</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月</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7</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日09:00时（节假日除外）</w:t>
      </w:r>
      <w:bookmarkEnd w:id="1"/>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至</w:t>
      </w:r>
      <w:r>
        <w:rPr>
          <w:rFonts w:hint="eastAsia" w:asciiTheme="majorEastAsia" w:hAnsiTheme="majorEastAsia" w:eastAsiaTheme="majorEastAsia" w:cstheme="majorEastAsia"/>
          <w:snapToGrid w:val="0"/>
          <w:color w:val="000000" w:themeColor="text1"/>
          <w:szCs w:val="24"/>
          <w:highlight w:val="none"/>
          <w14:textFill>
            <w14:solidFill>
              <w14:schemeClr w14:val="tx1"/>
            </w14:solidFill>
          </w14:textFill>
        </w:rPr>
        <w:t>2025</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年4月11日12时00分（</w:t>
      </w:r>
      <w:r>
        <w:rPr>
          <w:rFonts w:hint="eastAsia" w:asciiTheme="majorEastAsia" w:hAnsiTheme="majorEastAsia" w:eastAsiaTheme="majorEastAsia" w:cstheme="majorEastAsia"/>
          <w:snapToGrid w:val="0"/>
          <w:color w:val="000000" w:themeColor="text1"/>
          <w:szCs w:val="24"/>
          <w:highlight w:val="none"/>
          <w14:textFill>
            <w14:solidFill>
              <w14:schemeClr w14:val="tx1"/>
            </w14:solidFill>
          </w14:textFill>
        </w:rPr>
        <w:t>北京时间）</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w:t>
      </w:r>
    </w:p>
    <w:p>
      <w:pPr>
        <w:pStyle w:val="44"/>
        <w:spacing w:line="360" w:lineRule="auto"/>
        <w:ind w:firstLine="480" w:firstLineChars="200"/>
        <w:rPr>
          <w:rFonts w:asciiTheme="majorEastAsia" w:hAnsiTheme="majorEastAsia" w:eastAsiaTheme="majorEastAsia" w:cstheme="majorEastAsia"/>
          <w:snapToGrid w:val="0"/>
          <w:color w:val="000000" w:themeColor="text1"/>
          <w:szCs w:val="24"/>
          <w:highlight w:val="none"/>
          <w:u w:val="single"/>
          <w14:textFill>
            <w14:solidFill>
              <w14:schemeClr w14:val="tx1"/>
            </w14:solidFill>
          </w14:textFill>
        </w:rPr>
      </w:pPr>
      <w:r>
        <w:rPr>
          <w:rFonts w:hint="eastAsia" w:asciiTheme="majorEastAsia" w:hAnsiTheme="majorEastAsia" w:eastAsiaTheme="majorEastAsia" w:cstheme="majorEastAsia"/>
          <w:b/>
          <w:bCs/>
          <w:snapToGrid w:val="0"/>
          <w:color w:val="000000" w:themeColor="text1"/>
          <w:szCs w:val="24"/>
          <w:highlight w:val="none"/>
          <w14:textFill>
            <w14:solidFill>
              <w14:schemeClr w14:val="tx1"/>
            </w14:solidFill>
          </w14:textFill>
        </w:rPr>
        <w:t>八、</w:t>
      </w:r>
      <w:r>
        <w:rPr>
          <w:rFonts w:hint="eastAsia" w:asciiTheme="majorEastAsia" w:hAnsiTheme="majorEastAsia" w:eastAsiaTheme="majorEastAsia" w:cstheme="majorEastAsia"/>
          <w:b/>
          <w:bCs/>
          <w:snapToGrid w:val="0"/>
          <w:color w:val="000000" w:themeColor="text1"/>
          <w:szCs w:val="24"/>
          <w:highlight w:val="none"/>
          <w:lang w:val="en-US" w:eastAsia="zh-CN"/>
          <w14:textFill>
            <w14:solidFill>
              <w14:schemeClr w14:val="tx1"/>
            </w14:solidFill>
          </w14:textFill>
        </w:rPr>
        <w:t>资格审查时间</w:t>
      </w:r>
      <w:r>
        <w:rPr>
          <w:rFonts w:hint="eastAsia" w:asciiTheme="majorEastAsia" w:hAnsiTheme="majorEastAsia" w:eastAsiaTheme="majorEastAsia" w:cstheme="majorEastAsia"/>
          <w:snapToGrid w:val="0"/>
          <w:color w:val="000000" w:themeColor="text1"/>
          <w:szCs w:val="24"/>
          <w:highlight w:val="none"/>
          <w14:textFill>
            <w14:solidFill>
              <w14:schemeClr w14:val="tx1"/>
            </w14:solidFill>
          </w14:textFill>
        </w:rPr>
        <w:t>：</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2025年</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4</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月</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11</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日</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12</w:t>
      </w:r>
      <w: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t>:00时（节假日除外）</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至</w:t>
      </w:r>
      <w:r>
        <w:rPr>
          <w:rFonts w:hint="eastAsia" w:asciiTheme="majorEastAsia" w:hAnsiTheme="majorEastAsia" w:eastAsiaTheme="majorEastAsia" w:cstheme="majorEastAsia"/>
          <w:snapToGrid w:val="0"/>
          <w:color w:val="000000" w:themeColor="text1"/>
          <w:szCs w:val="24"/>
          <w:highlight w:val="none"/>
          <w14:textFill>
            <w14:solidFill>
              <w14:schemeClr w14:val="tx1"/>
            </w14:solidFill>
          </w14:textFill>
        </w:rPr>
        <w:t>2025</w:t>
      </w:r>
      <w:r>
        <w:rPr>
          <w:rFonts w:hint="eastAsia" w:asciiTheme="majorEastAsia" w:hAnsiTheme="majorEastAsia" w:eastAsiaTheme="majorEastAsia" w:cstheme="majorEastAsia"/>
          <w:color w:val="000000" w:themeColor="text1"/>
          <w:szCs w:val="24"/>
          <w:highlight w:val="none"/>
          <w:lang w:val="en-US" w:eastAsia="zh-CN"/>
          <w14:textFill>
            <w14:solidFill>
              <w14:schemeClr w14:val="tx1"/>
            </w14:solidFill>
          </w14:textFill>
        </w:rPr>
        <w:t>年4月14日12时00分（</w:t>
      </w:r>
      <w:r>
        <w:rPr>
          <w:rFonts w:hint="eastAsia" w:asciiTheme="majorEastAsia" w:hAnsiTheme="majorEastAsia" w:eastAsiaTheme="majorEastAsia" w:cstheme="majorEastAsia"/>
          <w:snapToGrid w:val="0"/>
          <w:color w:val="000000" w:themeColor="text1"/>
          <w:szCs w:val="24"/>
          <w:highlight w:val="none"/>
          <w14:textFill>
            <w14:solidFill>
              <w14:schemeClr w14:val="tx1"/>
            </w14:solidFill>
          </w14:textFill>
        </w:rPr>
        <w:t>北京时间）。</w:t>
      </w:r>
    </w:p>
    <w:p>
      <w:pPr>
        <w:pStyle w:val="69"/>
        <w:ind w:right="105" w:firstLine="482"/>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九、</w:t>
      </w:r>
      <w:bookmarkStart w:id="2" w:name="OLE_LINK11"/>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投标</w:t>
      </w:r>
      <w:r>
        <w:rPr>
          <w:rFonts w:hint="eastAsia" w:asciiTheme="majorEastAsia" w:hAnsiTheme="majorEastAsia" w:eastAsiaTheme="majorEastAsia" w:cstheme="majorEastAsia"/>
          <w:b/>
          <w:bCs/>
          <w:snapToGrid w:val="0"/>
          <w:color w:val="000000" w:themeColor="text1"/>
          <w:sz w:val="24"/>
          <w:szCs w:val="24"/>
          <w:highlight w:val="none"/>
          <w:lang w:val="en-US" w:eastAsia="zh-CN"/>
          <w14:textFill>
            <w14:solidFill>
              <w14:schemeClr w14:val="tx1"/>
            </w14:solidFill>
          </w14:textFill>
        </w:rPr>
        <w:t>文件</w:t>
      </w:r>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截止时间</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：2025年</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 xml:space="preserve"> 4 月 21 日10时00 分</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（北京时间）。投标文件必须在投标截止时间前送达开标地点。逾期送达的投标文件不予接收。</w:t>
      </w:r>
      <w:bookmarkEnd w:id="2"/>
    </w:p>
    <w:p>
      <w:pPr>
        <w:pStyle w:val="69"/>
        <w:ind w:right="105" w:firstLine="482"/>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十、投标文件原件正本、副本、电子文档送达（可邮寄）：</w:t>
      </w:r>
    </w:p>
    <w:p>
      <w:pPr>
        <w:pStyle w:val="69"/>
        <w:ind w:right="105" w:firstLine="480"/>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1、送达地址：</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四川省绵阳市涪城区科创园区财元路6号（东辰集团四楼）</w:t>
      </w:r>
    </w:p>
    <w:p>
      <w:pPr>
        <w:pStyle w:val="69"/>
        <w:ind w:right="105" w:firstLine="480"/>
        <w:rPr>
          <w:rFonts w:hint="default"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2、送达联系电话：</w:t>
      </w:r>
      <w:bookmarkStart w:id="3" w:name="OLE_LINK2"/>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0816-2366182</w:t>
      </w:r>
      <w:bookmarkEnd w:id="3"/>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、18681690134</w:t>
      </w:r>
    </w:p>
    <w:p>
      <w:pPr>
        <w:pStyle w:val="69"/>
        <w:ind w:right="105" w:firstLine="480"/>
        <w:rPr>
          <w:rFonts w:hint="default"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3、送达联系人：刘先生</w:t>
      </w:r>
    </w:p>
    <w:p>
      <w:pPr>
        <w:pStyle w:val="69"/>
        <w:ind w:right="105" w:firstLine="482"/>
        <w:rPr>
          <w:rFonts w:asciiTheme="majorEastAsia" w:hAnsiTheme="majorEastAsia" w:eastAsiaTheme="majorEastAsia" w:cstheme="majorEastAsia"/>
          <w:snapToGrid w:val="0"/>
          <w:color w:val="000000" w:themeColor="text1"/>
          <w:kern w:val="0"/>
          <w:sz w:val="24"/>
          <w:szCs w:val="24"/>
          <w:highlight w:val="none"/>
          <w14:textFill>
            <w14:solidFill>
              <w14:schemeClr w14:val="tx1"/>
            </w14:solidFill>
          </w14:textFill>
        </w:rPr>
      </w:pPr>
      <w:r>
        <w:rPr>
          <w:rFonts w:hint="eastAsia"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t>十</w:t>
      </w:r>
      <w:bookmarkStart w:id="4" w:name="_Hlk167789997"/>
      <w:r>
        <w:rPr>
          <w:rFonts w:hint="eastAsia"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t>一、</w:t>
      </w:r>
      <w:bookmarkEnd w:id="4"/>
      <w:r>
        <w:rPr>
          <w:rFonts w:hint="eastAsia"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t>开标时间：</w:t>
      </w:r>
      <w:r>
        <w:rPr>
          <w:rFonts w:hint="eastAsia" w:asciiTheme="majorEastAsia" w:hAnsiTheme="majorEastAsia" w:eastAsiaTheme="majorEastAsia" w:cstheme="majorEastAsia"/>
          <w:snapToGrid w:val="0"/>
          <w:color w:val="000000" w:themeColor="text1"/>
          <w:kern w:val="0"/>
          <w:sz w:val="24"/>
          <w:szCs w:val="24"/>
          <w:highlight w:val="none"/>
          <w14:textFill>
            <w14:solidFill>
              <w14:schemeClr w14:val="tx1"/>
            </w14:solidFill>
          </w14:textFill>
        </w:rPr>
        <w:t>2025年</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4月21日14时30分（北</w:t>
      </w:r>
      <w:r>
        <w:rPr>
          <w:rFonts w:hint="eastAsia" w:asciiTheme="majorEastAsia" w:hAnsiTheme="majorEastAsia" w:eastAsiaTheme="majorEastAsia" w:cstheme="majorEastAsia"/>
          <w:snapToGrid w:val="0"/>
          <w:color w:val="000000" w:themeColor="text1"/>
          <w:kern w:val="0"/>
          <w:sz w:val="24"/>
          <w:szCs w:val="24"/>
          <w:highlight w:val="none"/>
          <w14:textFill>
            <w14:solidFill>
              <w14:schemeClr w14:val="tx1"/>
            </w14:solidFill>
          </w14:textFill>
        </w:rPr>
        <w:t>京时间）。</w:t>
      </w:r>
    </w:p>
    <w:p>
      <w:pPr>
        <w:pStyle w:val="69"/>
        <w:ind w:right="105" w:firstLine="482"/>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t>十二、开标地点：</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四川省绵阳市涪城区科创园区财元路6号（东辰集团四楼会议室）</w:t>
      </w:r>
    </w:p>
    <w:p>
      <w:pPr>
        <w:snapToGrid w:val="0"/>
        <w:ind w:left="-5" w:right="105" w:firstLine="482"/>
        <w:rPr>
          <w:rFonts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snapToGrid w:val="0"/>
          <w:color w:val="000000" w:themeColor="text1"/>
          <w:sz w:val="24"/>
          <w:szCs w:val="24"/>
          <w:highlight w:val="none"/>
          <w14:textFill>
            <w14:solidFill>
              <w14:schemeClr w14:val="tx1"/>
            </w14:solidFill>
          </w14:textFill>
        </w:rPr>
        <w:t>十三、招标人联系方式：</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地  址：</w:t>
      </w:r>
      <w:r>
        <w:rPr>
          <w:rFonts w:hint="eastAsia"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t>四川省绵阳市涪城区科创园区财元路6号（东辰集团四楼）</w:t>
      </w:r>
    </w:p>
    <w:p>
      <w:pPr>
        <w:ind w:right="105" w:firstLine="480"/>
        <w:rPr>
          <w:rFonts w:hint="default"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联系人：</w:t>
      </w:r>
      <w:r>
        <w:rPr>
          <w:rFonts w:hint="eastAsia"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t>刘先生</w:t>
      </w:r>
    </w:p>
    <w:p>
      <w:pPr>
        <w:ind w:right="105" w:firstLine="480"/>
        <w:rPr>
          <w:rFonts w:hint="default"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联系电话：</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0816-2366182、</w:t>
      </w:r>
      <w:r>
        <w:rPr>
          <w:rFonts w:hint="eastAsia"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t>18681690134</w:t>
      </w: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69"/>
        <w:adjustRightInd w:val="0"/>
        <w:ind w:right="105" w:firstLine="0" w:firstLineChars="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ind w:right="105" w:firstLine="0" w:firstLineChars="0"/>
        <w:jc w:val="center"/>
        <w:outlineLvl w:val="0"/>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bookmarkStart w:id="5" w:name="_Toc26394"/>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第二章 投标人须知</w:t>
      </w:r>
      <w:bookmarkEnd w:id="5"/>
    </w:p>
    <w:p>
      <w:pPr>
        <w:ind w:right="105" w:firstLine="0" w:firstLineChars="0"/>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投标人须知前附表</w:t>
      </w:r>
    </w:p>
    <w:tbl>
      <w:tblPr>
        <w:tblStyle w:val="31"/>
        <w:tblW w:w="9195" w:type="dxa"/>
        <w:jc w:val="center"/>
        <w:tblInd w:w="0" w:type="dxa"/>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
      <w:tblGrid>
        <w:gridCol w:w="599"/>
        <w:gridCol w:w="1746"/>
        <w:gridCol w:w="6850"/>
      </w:tblGrid>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PrEx>
        <w:trPr>
          <w:tblHeader/>
          <w:jc w:val="center"/>
        </w:trPr>
        <w:tc>
          <w:tcPr>
            <w:tcW w:w="599" w:type="dxa"/>
            <w:tcBorders>
              <w:top w:val="single" w:color="auto" w:sz="4" w:space="0"/>
              <w:left w:val="single" w:color="auto" w:sz="4" w:space="0"/>
            </w:tcBorders>
            <w:vAlign w:val="center"/>
          </w:tcPr>
          <w:p>
            <w:pPr>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序号</w:t>
            </w:r>
          </w:p>
        </w:tc>
        <w:tc>
          <w:tcPr>
            <w:tcW w:w="1746" w:type="dxa"/>
            <w:tcBorders>
              <w:top w:val="single" w:color="auto" w:sz="4" w:space="0"/>
              <w:bottom w:val="single" w:color="auto" w:sz="8" w:space="0"/>
            </w:tcBorders>
            <w:vAlign w:val="center"/>
          </w:tcPr>
          <w:p>
            <w:pPr>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内容</w:t>
            </w:r>
          </w:p>
        </w:tc>
        <w:tc>
          <w:tcPr>
            <w:tcW w:w="6850" w:type="dxa"/>
            <w:tcBorders>
              <w:top w:val="single" w:color="auto" w:sz="4" w:space="0"/>
              <w:bottom w:val="single" w:color="auto" w:sz="8" w:space="0"/>
              <w:right w:val="single" w:color="auto" w:sz="4" w:space="0"/>
            </w:tcBorders>
            <w:vAlign w:val="center"/>
          </w:tcPr>
          <w:p>
            <w:pPr>
              <w:adjustRightIn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说明和要求</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w:t>
            </w:r>
          </w:p>
        </w:tc>
        <w:tc>
          <w:tcPr>
            <w:tcW w:w="1746" w:type="dxa"/>
            <w:tcBorders>
              <w:top w:val="single" w:color="auto" w:sz="8"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采购项目名称</w:t>
            </w:r>
          </w:p>
        </w:tc>
        <w:tc>
          <w:tcPr>
            <w:tcW w:w="6850" w:type="dxa"/>
            <w:tcBorders>
              <w:top w:val="single" w:color="auto" w:sz="8" w:space="0"/>
              <w:bottom w:val="single" w:color="auto" w:sz="4" w:space="0"/>
              <w:right w:val="single" w:color="auto" w:sz="4" w:space="0"/>
            </w:tcBorders>
            <w:vAlign w:val="center"/>
          </w:tcPr>
          <w:p>
            <w:pPr>
              <w:ind w:right="105" w:firstLine="420"/>
              <w:rPr>
                <w:rFonts w:hint="eastAsia" w:eastAsia="宋体" w:asciiTheme="majorEastAsia" w:hAnsiTheme="majorEastAsia" w:cstheme="majorEastAsia"/>
                <w:color w:val="000000" w:themeColor="text1"/>
                <w:sz w:val="21"/>
                <w:szCs w:val="21"/>
                <w:highlight w:val="none"/>
                <w:lang w:val="en-US" w:eastAsia="zh-CN"/>
                <w14:textFill>
                  <w14:solidFill>
                    <w14:schemeClr w14:val="tx1"/>
                  </w14:solidFill>
                </w14:textFill>
              </w:rPr>
            </w:pP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2025—2027年东辰集团</w:t>
            </w:r>
            <w:r>
              <w:rPr>
                <w:rFonts w:hint="eastAsia" w:hAnsi="宋体" w:eastAsia="宋体" w:cs="宋体"/>
                <w:bCs/>
                <w:color w:val="000000" w:themeColor="text1"/>
                <w:kern w:val="0"/>
                <w:sz w:val="24"/>
                <w:szCs w:val="24"/>
                <w:highlight w:val="none"/>
                <w:lang w:val="en-US" w:eastAsia="zh-CN"/>
                <w14:textFill>
                  <w14:solidFill>
                    <w14:schemeClr w14:val="tx1"/>
                  </w14:solidFill>
                </w14:textFill>
              </w:rPr>
              <w:t>住宅物业</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板块保安服务</w:t>
            </w:r>
            <w:r>
              <w:rPr>
                <w:rFonts w:hint="eastAsia" w:hAnsi="宋体" w:eastAsia="宋体" w:cs="宋体"/>
                <w:bCs/>
                <w:color w:val="000000" w:themeColor="text1"/>
                <w:kern w:val="0"/>
                <w:sz w:val="24"/>
                <w:szCs w:val="24"/>
                <w:highlight w:val="none"/>
                <w:lang w:val="en-US" w:eastAsia="zh-CN"/>
                <w14:textFill>
                  <w14:solidFill>
                    <w14:schemeClr w14:val="tx1"/>
                  </w14:solidFill>
                </w14:textFill>
              </w:rPr>
              <w:t>采购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项目内容与招标范围</w:t>
            </w:r>
          </w:p>
        </w:tc>
        <w:tc>
          <w:tcPr>
            <w:tcW w:w="6850" w:type="dxa"/>
            <w:tcBorders>
              <w:right w:val="single" w:color="auto" w:sz="4" w:space="0"/>
            </w:tcBorders>
            <w:vAlign w:val="center"/>
          </w:tcPr>
          <w:p>
            <w:pPr>
              <w:adjustRightInd w:val="0"/>
              <w:ind w:right="170" w:rightChars="50" w:firstLine="420"/>
              <w:rPr>
                <w:rFonts w:asciiTheme="majorEastAsia" w:hAnsiTheme="majorEastAsia" w:eastAsiaTheme="majorEastAsia" w:cstheme="majorEastAsia"/>
                <w:b/>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TW"/>
                <w14:textFill>
                  <w14:solidFill>
                    <w14:schemeClr w14:val="tx1"/>
                  </w14:solidFill>
                </w14:textFill>
              </w:rPr>
              <w:t>详见招标文件第三章。</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1221" w:hRule="atLeast"/>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投标人资格条件与禁止投标情形</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详见招标公告第四条、第五条。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4</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其他禁止投标的情形</w:t>
            </w:r>
          </w:p>
        </w:tc>
        <w:tc>
          <w:tcPr>
            <w:tcW w:w="6850" w:type="dxa"/>
            <w:tcBorders>
              <w:right w:val="single" w:color="auto" w:sz="4" w:space="0"/>
            </w:tcBorders>
            <w:vAlign w:val="center"/>
          </w:tcPr>
          <w:p>
            <w:pPr>
              <w:spacing w:line="320" w:lineRule="exact"/>
              <w:ind w:right="170" w:rightChars="50" w:firstLine="42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 xml:space="preserve">具有如下情形的单位禁止参加本项目投标： </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（1）为本项目提供招标服务的；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（2）与本项目招标人同为一个法定代表人的；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（3）与本项目招标人相互控股或参股的；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（4）与本项目招标人存在人员相互任职或工作情况的；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（5）当前处于停业状态的；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（6）处于行政主管部门投标限制期内的；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（7）财产被接管或冻结的；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（8）处于破产状态的；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（9）参加本次招标活动前3年内，利用不正当竞争手段骗取中标的；</w:t>
            </w:r>
          </w:p>
          <w:p>
            <w:pPr>
              <w:pStyle w:val="44"/>
              <w:ind w:firstLine="420" w:firstLineChars="200"/>
              <w:rPr>
                <w:rFonts w:asciiTheme="majorEastAsia" w:hAnsiTheme="majorEastAsia" w:eastAsiaTheme="majorEastAsia" w:cstheme="majorEastAsia"/>
                <w:color w:val="000000" w:themeColor="text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（10）参加本次招标活动前3年内，投标人或投标人的法定代表人（或单位负责人）存在行贿行为的；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（11）参加本次招标活动前3年内，存在经济刑事案件的；</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（12）近3年内，投标人因产品质量问题遭受过行政主管部门以下行政处罚的：责令停产停业、暂扣或者吊销许可证、暂扣或者吊销执照、行政拘留；</w:t>
            </w:r>
          </w:p>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（13）近3年内在招投标和合同履行过程有腐败行为并被司法机关认定为犯罪的；</w:t>
            </w:r>
          </w:p>
          <w:p>
            <w:pPr>
              <w:pStyle w:val="44"/>
              <w:ind w:left="210" w:hanging="210" w:hangingChars="10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 xml:space="preserve">   （14）投标人的法定代表人或主要负责人正在被纪委监察委立案调查的；</w:t>
            </w:r>
          </w:p>
          <w:p>
            <w:pPr>
              <w:spacing w:line="320" w:lineRule="exact"/>
              <w:ind w:left="170" w:leftChars="50" w:right="170" w:rightChars="50" w:firstLine="210" w:firstLineChars="100"/>
              <w:rPr>
                <w:color w:val="000000" w:themeColor="text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（15）</w:t>
            </w:r>
            <w:r>
              <w:rPr>
                <w:rFonts w:hAnsi="宋体" w:eastAsia="宋体" w:cs="宋体"/>
                <w:color w:val="000000" w:themeColor="text1"/>
                <w:sz w:val="21"/>
                <w:szCs w:val="21"/>
                <w:highlight w:val="none"/>
                <w14:textFill>
                  <w14:solidFill>
                    <w14:schemeClr w14:val="tx1"/>
                  </w14:solidFill>
                </w14:textFill>
              </w:rPr>
              <w:t>若存在相似情形，则相关投标实体将被视为同一实体，无论投标实体数量多少，均视作单一实体。</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5</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联合体投标</w:t>
            </w:r>
          </w:p>
        </w:tc>
        <w:tc>
          <w:tcPr>
            <w:tcW w:w="6850" w:type="dxa"/>
            <w:tcBorders>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000000" w:themeColor="text1"/>
                <w:szCs w:val="34"/>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不接受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6</w:t>
            </w:r>
          </w:p>
        </w:tc>
        <w:tc>
          <w:tcPr>
            <w:tcW w:w="1746" w:type="dxa"/>
            <w:tcBorders>
              <w:top w:val="single" w:color="auto" w:sz="4" w:space="0"/>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投标纪律要求</w:t>
            </w:r>
          </w:p>
        </w:tc>
        <w:tc>
          <w:tcPr>
            <w:tcW w:w="6850" w:type="dxa"/>
            <w:tcBorders>
              <w:top w:val="single" w:color="auto" w:sz="4" w:space="0"/>
              <w:bottom w:val="single" w:color="auto" w:sz="4" w:space="0"/>
              <w:right w:val="single" w:color="auto" w:sz="4" w:space="0"/>
            </w:tcBorders>
            <w:vAlign w:val="center"/>
          </w:tcPr>
          <w:p>
            <w:pPr>
              <w:ind w:right="105" w:firstLine="420"/>
              <w:rPr>
                <w:rFonts w:asciiTheme="majorEastAsia" w:hAnsiTheme="majorEastAsia" w:eastAsiaTheme="majorEastAsia" w:cstheme="majorEastAsia"/>
                <w:color w:val="000000" w:themeColor="text1"/>
                <w:szCs w:val="34"/>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详见招标文件第二章第35条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7</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分包和转包</w:t>
            </w:r>
          </w:p>
        </w:tc>
        <w:tc>
          <w:tcPr>
            <w:tcW w:w="6850" w:type="dxa"/>
            <w:tcBorders>
              <w:right w:val="single" w:color="auto" w:sz="4" w:space="0"/>
            </w:tcBorders>
            <w:vAlign w:val="center"/>
          </w:tcPr>
          <w:p>
            <w:pPr>
              <w:spacing w:line="320" w:lineRule="exact"/>
              <w:ind w:left="170" w:leftChars="50" w:right="170" w:rightChars="50" w:firstLine="210" w:firstLineChars="10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不允许</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报名</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截止时间</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000000" w:themeColor="text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2025</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年</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1"/>
                <w:szCs w:val="21"/>
                <w:highlight w:val="none"/>
                <w:u w:val="single"/>
                <w:lang w:val="en-US" w:eastAsia="zh-CN"/>
                <w14:textFill>
                  <w14:solidFill>
                    <w14:schemeClr w14:val="tx1"/>
                  </w14:solidFill>
                </w14:textFill>
              </w:rPr>
              <w:t>4</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月</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1"/>
                <w:szCs w:val="21"/>
                <w:highlight w:val="none"/>
                <w:u w:val="single"/>
                <w:lang w:val="en-US" w:eastAsia="zh-CN"/>
                <w14:textFill>
                  <w14:solidFill>
                    <w14:schemeClr w14:val="tx1"/>
                  </w14:solidFill>
                </w14:textFill>
              </w:rPr>
              <w:t>11</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日</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1</w:t>
            </w:r>
            <w:r>
              <w:rPr>
                <w:rFonts w:hint="eastAsia" w:asciiTheme="majorEastAsia" w:hAnsiTheme="majorEastAsia" w:eastAsiaTheme="majorEastAsia" w:cstheme="majorEastAsia"/>
                <w:color w:val="000000" w:themeColor="text1"/>
                <w:sz w:val="21"/>
                <w:szCs w:val="21"/>
                <w:highlight w:val="none"/>
                <w:u w:val="single"/>
                <w:lang w:val="en-US" w:eastAsia="zh-CN"/>
                <w14:textFill>
                  <w14:solidFill>
                    <w14:schemeClr w14:val="tx1"/>
                  </w14:solidFill>
                </w14:textFill>
              </w:rPr>
              <w:t>2</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时</w:t>
            </w: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 xml:space="preserve">00 </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分（北京时间）</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bottom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9</w:t>
            </w:r>
          </w:p>
        </w:tc>
        <w:tc>
          <w:tcPr>
            <w:tcW w:w="1746" w:type="dxa"/>
            <w:tcBorders>
              <w:bottom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递交投标文件</w:t>
            </w:r>
          </w:p>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时间、地点</w:t>
            </w:r>
          </w:p>
        </w:tc>
        <w:tc>
          <w:tcPr>
            <w:tcW w:w="6850" w:type="dxa"/>
            <w:tcBorders>
              <w:bottom w:val="single" w:color="auto" w:sz="4" w:space="0"/>
              <w:right w:val="single" w:color="auto" w:sz="4" w:space="0"/>
            </w:tcBorders>
            <w:vAlign w:val="center"/>
          </w:tcPr>
          <w:p>
            <w:pPr>
              <w:pStyle w:val="69"/>
              <w:ind w:right="105" w:firstLine="420"/>
              <w:rPr>
                <w:rFonts w:hint="eastAsia" w:asciiTheme="majorEastAsia" w:hAnsiTheme="majorEastAsia" w:eastAsiaTheme="majorEastAsia" w:cstheme="majorEastAsia"/>
                <w:snapToGrid w:val="0"/>
                <w:color w:val="000000" w:themeColor="text1"/>
                <w:szCs w:val="21"/>
                <w:highlight w:val="none"/>
                <w:lang w:eastAsia="zh-CN"/>
                <w14:textFill>
                  <w14:solidFill>
                    <w14:schemeClr w14:val="tx1"/>
                  </w14:solidFill>
                </w14:textFill>
              </w:rPr>
            </w:pP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2025</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年</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u w:val="single"/>
                <w:lang w:val="en-US" w:eastAsia="zh-CN"/>
                <w14:textFill>
                  <w14:solidFill>
                    <w14:schemeClr w14:val="tx1"/>
                  </w14:solidFill>
                </w14:textFill>
              </w:rPr>
              <w:t>4</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月</w:t>
            </w:r>
            <w:r>
              <w:rPr>
                <w:rFonts w:hint="eastAsia" w:asciiTheme="majorEastAsia" w:hAnsiTheme="majorEastAsia" w:eastAsiaTheme="majorEastAsia" w:cstheme="majorEastAsia"/>
                <w:snapToGrid w:val="0"/>
                <w:color w:val="000000" w:themeColor="text1"/>
                <w:szCs w:val="21"/>
                <w:highlight w:val="none"/>
                <w:u w:val="single"/>
                <w:lang w:val="en-US" w:eastAsia="zh-CN"/>
                <w14:textFill>
                  <w14:solidFill>
                    <w14:schemeClr w14:val="tx1"/>
                  </w14:solidFill>
                </w14:textFill>
              </w:rPr>
              <w:t>14</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日</w:t>
            </w:r>
            <w:r>
              <w:rPr>
                <w:rFonts w:hint="eastAsia" w:asciiTheme="majorEastAsia" w:hAnsiTheme="majorEastAsia" w:eastAsiaTheme="majorEastAsia" w:cstheme="majorEastAsia"/>
                <w:snapToGrid w:val="0"/>
                <w:color w:val="000000" w:themeColor="text1"/>
                <w:szCs w:val="21"/>
                <w:highlight w:val="none"/>
                <w:u w:val="single"/>
                <w:lang w:val="en-US" w:eastAsia="zh-CN"/>
                <w14:textFill>
                  <w14:solidFill>
                    <w14:schemeClr w14:val="tx1"/>
                  </w14:solidFill>
                </w14:textFill>
              </w:rPr>
              <w:t>12</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时00分（北京时间）至</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2025</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年</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u w:val="single"/>
                <w:lang w:val="en-US" w:eastAsia="zh-CN"/>
                <w14:textFill>
                  <w14:solidFill>
                    <w14:schemeClr w14:val="tx1"/>
                  </w14:solidFill>
                </w14:textFill>
              </w:rPr>
              <w:t>4</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月</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u w:val="single"/>
                <w:lang w:val="en-US" w:eastAsia="zh-CN"/>
                <w14:textFill>
                  <w14:solidFill>
                    <w14:schemeClr w14:val="tx1"/>
                  </w14:solidFill>
                </w14:textFill>
              </w:rPr>
              <w:t>21</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日</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10</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时</w:t>
            </w:r>
            <w:r>
              <w:rPr>
                <w:rFonts w:hint="eastAsia" w:asciiTheme="majorEastAsia" w:hAnsiTheme="majorEastAsia" w:eastAsiaTheme="majorEastAsia" w:cstheme="majorEastAsia"/>
                <w:snapToGrid w:val="0"/>
                <w:color w:val="000000" w:themeColor="text1"/>
                <w:szCs w:val="21"/>
                <w:highlight w:val="none"/>
                <w:u w:val="single"/>
                <w14:textFill>
                  <w14:solidFill>
                    <w14:schemeClr w14:val="tx1"/>
                  </w14:solidFill>
                </w14:textFill>
              </w:rPr>
              <w:t xml:space="preserve"> 00</w:t>
            </w:r>
            <w:r>
              <w:rPr>
                <w:rFonts w:hint="eastAsia" w:asciiTheme="majorEastAsia" w:hAnsiTheme="majorEastAsia" w:eastAsiaTheme="majorEastAsia" w:cstheme="majorEastAsia"/>
                <w:snapToGrid w:val="0"/>
                <w:color w:val="000000" w:themeColor="text1"/>
                <w:szCs w:val="21"/>
                <w:highlight w:val="none"/>
                <w14:textFill>
                  <w14:solidFill>
                    <w14:schemeClr w14:val="tx1"/>
                  </w14:solidFill>
                </w14:textFill>
              </w:rPr>
              <w:t>分（北京时间）</w:t>
            </w:r>
            <w:r>
              <w:rPr>
                <w:rFonts w:hint="eastAsia" w:asciiTheme="majorEastAsia" w:hAnsiTheme="majorEastAsia" w:eastAsiaTheme="majorEastAsia" w:cstheme="majorEastAsia"/>
                <w:color w:val="000000" w:themeColor="text1"/>
                <w:szCs w:val="21"/>
                <w:highlight w:val="none"/>
                <w14:textFill>
                  <w14:solidFill>
                    <w14:schemeClr w14:val="tx1"/>
                  </w14:solidFill>
                </w14:textFill>
              </w:rPr>
              <w:t>。投标文件必须在投标截止时间前送达</w:t>
            </w:r>
            <w:r>
              <w:rPr>
                <w:rFonts w:hint="eastAsia" w:asciiTheme="majorEastAsia" w:hAnsiTheme="majorEastAsia" w:eastAsiaTheme="majorEastAsia" w:cstheme="majorEastAsia"/>
                <w:color w:val="000000" w:themeColor="text1"/>
                <w:szCs w:val="21"/>
                <w:highlight w:val="none"/>
                <w:u w:val="single"/>
                <w14:textFill>
                  <w14:solidFill>
                    <w14:schemeClr w14:val="tx1"/>
                  </w14:solidFill>
                </w14:textFill>
              </w:rPr>
              <w:t>四川省绵阳市涪城区科创园区财元路6号（东辰集团四楼）</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top w:val="single" w:color="auto" w:sz="4" w:space="0"/>
              <w:left w:val="single" w:color="auto" w:sz="4" w:space="0"/>
            </w:tcBorders>
            <w:vAlign w:val="center"/>
          </w:tcPr>
          <w:p>
            <w:pPr>
              <w:adjustRightInd w:val="0"/>
              <w:spacing w:line="400" w:lineRule="exact"/>
              <w:ind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 xml:space="preserve"> 10</w:t>
            </w:r>
          </w:p>
        </w:tc>
        <w:tc>
          <w:tcPr>
            <w:tcW w:w="1746" w:type="dxa"/>
            <w:tcBorders>
              <w:top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b w:val="0"/>
                <w:bCs w:val="0"/>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b w:val="0"/>
                <w:bCs w:val="0"/>
                <w:color w:val="000000" w:themeColor="text1"/>
                <w:sz w:val="21"/>
                <w:szCs w:val="21"/>
                <w:highlight w:val="none"/>
                <w14:textFill>
                  <w14:solidFill>
                    <w14:schemeClr w14:val="tx1"/>
                  </w14:solidFill>
                </w14:textFill>
              </w:rPr>
              <w:t>开标地点</w:t>
            </w:r>
          </w:p>
        </w:tc>
        <w:tc>
          <w:tcPr>
            <w:tcW w:w="6850" w:type="dxa"/>
            <w:tcBorders>
              <w:top w:val="single" w:color="auto" w:sz="4" w:space="0"/>
              <w:right w:val="single" w:color="auto" w:sz="4" w:space="0"/>
            </w:tcBorders>
            <w:vAlign w:val="center"/>
          </w:tcPr>
          <w:p>
            <w:pPr>
              <w:pStyle w:val="69"/>
              <w:ind w:left="0" w:leftChars="0" w:right="105" w:firstLine="210" w:firstLineChars="100"/>
              <w:rPr>
                <w:rFonts w:asciiTheme="majorEastAsia" w:hAnsiTheme="majorEastAsia" w:eastAsiaTheme="majorEastAsia" w:cstheme="majorEastAsia"/>
                <w:b w:val="0"/>
                <w:bCs w:val="0"/>
                <w:snapToGrid w:val="0"/>
                <w:color w:val="000000" w:themeColor="text1"/>
                <w:szCs w:val="24"/>
                <w:highlight w:val="none"/>
                <w:u w:val="single"/>
                <w14:textFill>
                  <w14:solidFill>
                    <w14:schemeClr w14:val="tx1"/>
                  </w14:solidFill>
                </w14:textFill>
              </w:rPr>
            </w:pPr>
            <w:r>
              <w:rPr>
                <w:rFonts w:hint="eastAsia" w:asciiTheme="majorEastAsia" w:hAnsiTheme="majorEastAsia" w:eastAsiaTheme="majorEastAsia" w:cstheme="majorEastAsia"/>
                <w:b w:val="0"/>
                <w:bCs w:val="0"/>
                <w:snapToGrid w:val="0"/>
                <w:color w:val="000000" w:themeColor="text1"/>
                <w:szCs w:val="24"/>
                <w:highlight w:val="none"/>
                <w:u w:val="single"/>
                <w14:textFill>
                  <w14:solidFill>
                    <w14:schemeClr w14:val="tx1"/>
                  </w14:solidFill>
                </w14:textFill>
              </w:rPr>
              <w:t>四川省绵阳市涪城区科创园区财元路6号（东辰集团四楼</w:t>
            </w:r>
            <w:r>
              <w:rPr>
                <w:rFonts w:hint="eastAsia" w:asciiTheme="majorEastAsia" w:hAnsiTheme="majorEastAsia" w:eastAsiaTheme="majorEastAsia" w:cstheme="majorEastAsia"/>
                <w:b w:val="0"/>
                <w:bCs w:val="0"/>
                <w:snapToGrid w:val="0"/>
                <w:color w:val="000000" w:themeColor="text1"/>
                <w:szCs w:val="24"/>
                <w:highlight w:val="none"/>
                <w:u w:val="single"/>
                <w:lang w:eastAsia="zh-CN"/>
                <w14:textFill>
                  <w14:solidFill>
                    <w14:schemeClr w14:val="tx1"/>
                  </w14:solidFill>
                </w14:textFill>
              </w:rPr>
              <w:t>会议室</w:t>
            </w:r>
            <w:r>
              <w:rPr>
                <w:rFonts w:hint="eastAsia" w:asciiTheme="majorEastAsia" w:hAnsiTheme="majorEastAsia" w:eastAsiaTheme="majorEastAsia" w:cstheme="majorEastAsia"/>
                <w:b w:val="0"/>
                <w:bCs w:val="0"/>
                <w:snapToGrid w:val="0"/>
                <w:color w:val="000000" w:themeColor="text1"/>
                <w:szCs w:val="24"/>
                <w:highlight w:val="none"/>
                <w:u w:val="single"/>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投标有效期</w:t>
            </w:r>
          </w:p>
        </w:tc>
        <w:tc>
          <w:tcPr>
            <w:tcW w:w="6850" w:type="dxa"/>
            <w:tcBorders>
              <w:right w:val="single" w:color="auto" w:sz="4" w:space="0"/>
            </w:tcBorders>
            <w:vAlign w:val="center"/>
          </w:tcPr>
          <w:p>
            <w:pPr>
              <w:ind w:right="170" w:rightChars="50" w:firstLine="210" w:firstLineChars="100"/>
              <w:rPr>
                <w:rFonts w:asciiTheme="majorEastAsia" w:hAnsiTheme="majorEastAsia" w:eastAsiaTheme="majorEastAsia" w:cstheme="majorEastAsia"/>
                <w:color w:val="000000" w:themeColor="text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u w:val="single"/>
                <w14:textFill>
                  <w14:solidFill>
                    <w14:schemeClr w14:val="tx1"/>
                  </w14:solidFill>
                </w14:textFill>
              </w:rPr>
              <w:t>30</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日，从投标截止之日起算。</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12</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8"/>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低于成本价不正当竞争预防措施</w:t>
            </w:r>
          </w:p>
        </w:tc>
        <w:tc>
          <w:tcPr>
            <w:tcW w:w="6850" w:type="dxa"/>
            <w:tcBorders>
              <w:right w:val="single" w:color="auto" w:sz="4" w:space="0"/>
            </w:tcBorders>
            <w:vAlign w:val="center"/>
          </w:tcPr>
          <w:p>
            <w:pPr>
              <w:adjustRightInd w:val="0"/>
              <w:spacing w:line="240" w:lineRule="auto"/>
              <w:ind w:left="170" w:leftChars="50" w:right="170" w:rightChars="50" w:firstLine="420"/>
              <w:jc w:val="left"/>
              <w:rPr>
                <w:rFonts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在评标过程中，评标小组认为供应商的报价明显低于其他通过符合性审查的投标人的报价，有可能影响产品质量或者不能诚信履约的，评标小组应当要求其在评标现场合理的时间内提供书面说明，并提交相关证明材料。书面说明应当按照国家财务会计制度的规定要求，逐项就成本、税金及附加、销售费用、管理费用、财务费用等成本构成事项详细陈述。书面说明应当由其法定代表人、单位负责人、经营者或者代理人签字确认或者加盖公章，否则无效。投标人提供书面说明后，评标小组应当结合项目需求、专业实际情况、财务状况报告、与其他投标人比较情况等就书面说明进行审查评价。投标人拒绝或者变相拒绝提供有效书面说明或者书面说明不能证明其报价合理性的，评标小组应当将其投标报价作为无效处理（即报价得分为零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13</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构成招标文件的其他文件</w:t>
            </w:r>
          </w:p>
        </w:tc>
        <w:tc>
          <w:tcPr>
            <w:tcW w:w="6850" w:type="dxa"/>
            <w:tcBorders>
              <w:right w:val="single" w:color="auto" w:sz="4" w:space="0"/>
            </w:tcBorders>
            <w:vAlign w:val="center"/>
          </w:tcPr>
          <w:p>
            <w:pPr>
              <w:ind w:left="105" w:right="105" w:hanging="105" w:hangingChars="5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 xml:space="preserve"> 招标文件的澄清、修改及有关补充通知为招标文件的有效组成部分。</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adjustRightInd w:val="0"/>
              <w:spacing w:line="40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14</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1"/>
                <w:szCs w:val="21"/>
                <w:highlight w:val="none"/>
                <w14:textFill>
                  <w14:solidFill>
                    <w14:schemeClr w14:val="tx1"/>
                  </w14:solidFill>
                </w14:textFill>
              </w:rPr>
              <w:t>招标文件的澄清、修改、补充</w:t>
            </w:r>
          </w:p>
        </w:tc>
        <w:tc>
          <w:tcPr>
            <w:tcW w:w="6850" w:type="dxa"/>
            <w:tcBorders>
              <w:right w:val="single" w:color="auto" w:sz="4" w:space="0"/>
            </w:tcBorders>
            <w:vAlign w:val="center"/>
          </w:tcPr>
          <w:p>
            <w:pPr>
              <w:pStyle w:val="102"/>
              <w:ind w:firstLine="482"/>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1、对已发出的招标文件进行澄清或者修改，招标人以书面形式将澄清或者修改的内容通知所有收到招标文件的投标人，该澄清或者修改的内容为招标文件的组成部分。</w:t>
            </w:r>
          </w:p>
          <w:p>
            <w:pPr>
              <w:pStyle w:val="102"/>
              <w:ind w:firstLine="482"/>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2、所有已经收到招标文件的投标人有义务及时关注本项目招标文件澄清或者修改内容，并及时进行阅读、下载、截图、打印等。若投标人未能尽到该义务，将承担投标中由此产生的不利影响。</w:t>
            </w:r>
          </w:p>
          <w:p>
            <w:pPr>
              <w:pStyle w:val="102"/>
              <w:ind w:firstLine="482"/>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3、投标人要求对招标文件进行澄清的，应当在投标截止日3日前按招标文件中的联系方式，以书面形式通知招标人。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15</w:t>
            </w:r>
          </w:p>
        </w:tc>
        <w:tc>
          <w:tcPr>
            <w:tcW w:w="1746" w:type="dxa"/>
            <w:vAlign w:val="center"/>
          </w:tcPr>
          <w:p>
            <w:pPr>
              <w:adjustRightInd w:val="0"/>
              <w:ind w:left="0" w:leftChars="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投标文件的数量</w:t>
            </w:r>
          </w:p>
        </w:tc>
        <w:tc>
          <w:tcPr>
            <w:tcW w:w="6850" w:type="dxa"/>
            <w:tcBorders>
              <w:right w:val="single" w:color="auto" w:sz="4" w:space="0"/>
            </w:tcBorders>
            <w:vAlign w:val="center"/>
          </w:tcPr>
          <w:p>
            <w:pPr>
              <w:ind w:right="170" w:rightChars="50" w:firstLine="630" w:firstLineChars="30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正本1份、副本3份、电子文档（U盘）1份</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91" w:hRule="atLeast"/>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16</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投标文件的包装、密封和标注</w:t>
            </w:r>
          </w:p>
        </w:tc>
        <w:tc>
          <w:tcPr>
            <w:tcW w:w="6850" w:type="dxa"/>
            <w:tcBorders>
              <w:right w:val="single" w:color="auto" w:sz="4" w:space="0"/>
            </w:tcBorders>
            <w:vAlign w:val="center"/>
          </w:tcPr>
          <w:p>
            <w:pPr>
              <w:ind w:right="170" w:rightChars="50" w:firstLine="630" w:firstLineChars="30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详见招标文件第二章第三条</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17</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最高限价</w:t>
            </w:r>
          </w:p>
        </w:tc>
        <w:tc>
          <w:tcPr>
            <w:tcW w:w="6850" w:type="dxa"/>
            <w:tcBorders>
              <w:right w:val="single" w:color="auto" w:sz="4" w:space="0"/>
            </w:tcBorders>
            <w:vAlign w:val="center"/>
          </w:tcPr>
          <w:p>
            <w:pPr>
              <w:spacing w:line="240" w:lineRule="auto"/>
              <w:ind w:right="170" w:rightChars="5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总价限价</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 xml:space="preserve"> </w:t>
            </w:r>
            <w:bookmarkStart w:id="6" w:name="OLE_LINK10"/>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392.16</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万元（含税）</w:t>
            </w:r>
            <w:bookmarkEnd w:id="6"/>
            <w:r>
              <w:rPr>
                <w:rFonts w:hint="eastAsia" w:asciiTheme="majorEastAsia" w:hAnsiTheme="majorEastAsia" w:eastAsiaTheme="majorEastAsia" w:cstheme="majorEastAsia"/>
                <w:color w:val="000000" w:themeColor="text1"/>
                <w:sz w:val="21"/>
                <w:szCs w:val="21"/>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单位分项报价见</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第三章</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。总价报价超过最高限价的投标报价将被视作无效投标。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18</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投标报价</w:t>
            </w:r>
          </w:p>
        </w:tc>
        <w:tc>
          <w:tcPr>
            <w:tcW w:w="6850" w:type="dxa"/>
            <w:tcBorders>
              <w:right w:val="single" w:color="auto" w:sz="4" w:space="0"/>
            </w:tcBorders>
            <w:vAlign w:val="center"/>
          </w:tcPr>
          <w:p>
            <w:pPr>
              <w:adjustRightInd w:val="0"/>
              <w:spacing w:line="240" w:lineRule="auto"/>
              <w:ind w:right="170" w:rightChars="50" w:firstLine="42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TW" w:eastAsia="zh-TW"/>
                <w14:textFill>
                  <w14:solidFill>
                    <w14:schemeClr w14:val="tx1"/>
                  </w14:solidFill>
                </w14:textFill>
              </w:rPr>
              <w:t>投标</w:t>
            </w:r>
            <w:r>
              <w:rPr>
                <w:rFonts w:hint="eastAsia" w:asciiTheme="majorEastAsia" w:hAnsiTheme="majorEastAsia" w:eastAsiaTheme="majorEastAsia" w:cstheme="majorEastAsia"/>
                <w:color w:val="000000" w:themeColor="text1"/>
                <w:sz w:val="21"/>
                <w:szCs w:val="21"/>
                <w:highlight w:val="none"/>
                <w:lang w:val="zh-TW"/>
                <w14:textFill>
                  <w14:solidFill>
                    <w14:schemeClr w14:val="tx1"/>
                  </w14:solidFill>
                </w14:textFill>
              </w:rPr>
              <w:t>报价</w:t>
            </w:r>
            <w:r>
              <w:rPr>
                <w:rFonts w:hint="eastAsia" w:asciiTheme="majorEastAsia" w:hAnsiTheme="majorEastAsia" w:eastAsiaTheme="majorEastAsia" w:cstheme="majorEastAsia"/>
                <w:color w:val="000000" w:themeColor="text1"/>
                <w:sz w:val="21"/>
                <w:szCs w:val="21"/>
                <w:highlight w:val="none"/>
                <w:lang w:val="zh-TW" w:eastAsia="zh-TW"/>
                <w14:textFill>
                  <w14:solidFill>
                    <w14:schemeClr w14:val="tx1"/>
                  </w14:solidFill>
                </w14:textFill>
              </w:rPr>
              <w:t>应包括：</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投标人响应招标项目要求的全部工作内容的价格体现，包括</w:t>
            </w:r>
            <w:r>
              <w:rPr>
                <w:rFonts w:hint="default" w:ascii="宋体" w:hAnsi="宋体" w:eastAsia="宋体" w:cs="宋体"/>
                <w:color w:val="000000" w:themeColor="text1"/>
                <w:sz w:val="21"/>
                <w:szCs w:val="21"/>
                <w:highlight w:val="none"/>
                <w:lang w:val="en-US"/>
                <w14:textFill>
                  <w14:solidFill>
                    <w14:schemeClr w14:val="tx1"/>
                  </w14:solidFill>
                </w14:textFill>
              </w:rPr>
              <w:t>但不限于</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投标人完成本项目所需的一切费用以及招标文件规定的其他费用。（投标人报价需为含税价，并注明税率）</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19</w:t>
            </w:r>
          </w:p>
        </w:tc>
        <w:tc>
          <w:tcPr>
            <w:tcW w:w="1746" w:type="dxa"/>
            <w:vAlign w:val="center"/>
          </w:tcPr>
          <w:p>
            <w:pPr>
              <w:spacing w:line="240" w:lineRule="auto"/>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发票要求</w:t>
            </w:r>
          </w:p>
        </w:tc>
        <w:tc>
          <w:tcPr>
            <w:tcW w:w="6850" w:type="dxa"/>
            <w:tcBorders>
              <w:right w:val="single" w:color="auto" w:sz="4" w:space="0"/>
            </w:tcBorders>
            <w:vAlign w:val="center"/>
          </w:tcPr>
          <w:p>
            <w:pPr>
              <w:spacing w:line="240" w:lineRule="auto"/>
              <w:ind w:left="170" w:leftChars="50" w:right="170" w:rightChars="50" w:firstLine="0" w:firstLineChars="0"/>
              <w:rPr>
                <w:rFonts w:asciiTheme="majorEastAsia" w:hAnsiTheme="majorEastAsia" w:eastAsiaTheme="majorEastAsia" w:cstheme="majorEastAsia"/>
                <w:color w:val="000000" w:themeColor="text1"/>
                <w:sz w:val="21"/>
                <w:szCs w:val="21"/>
                <w:highlight w:val="none"/>
                <w:lang w:val="zh-TW" w:eastAsia="zh-TW"/>
                <w14:textFill>
                  <w14:solidFill>
                    <w14:schemeClr w14:val="tx1"/>
                  </w14:solidFill>
                </w14:textFill>
              </w:rPr>
            </w:pPr>
            <w:r>
              <w:rPr>
                <w:rFonts w:hint="eastAsia"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t>增值税</w:t>
            </w:r>
            <w:r>
              <w:rPr>
                <w:rFonts w:hint="eastAsia" w:asciiTheme="majorEastAsia" w:hAnsiTheme="majorEastAsia" w:eastAsiaTheme="majorEastAsia" w:cstheme="majorEastAsia"/>
                <w:snapToGrid w:val="0"/>
                <w:color w:val="000000" w:themeColor="text1"/>
                <w:sz w:val="21"/>
                <w:szCs w:val="21"/>
                <w:highlight w:val="none"/>
                <w:u w:val="single"/>
                <w14:textFill>
                  <w14:solidFill>
                    <w14:schemeClr w14:val="tx1"/>
                  </w14:solidFill>
                </w14:textFill>
              </w:rPr>
              <w:t>专用</w:t>
            </w:r>
            <w:r>
              <w:rPr>
                <w:rFonts w:hint="eastAsia"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t>发票（免税产品提供免税证明）。</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20</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投标文件的真实性要求</w:t>
            </w:r>
          </w:p>
        </w:tc>
        <w:tc>
          <w:tcPr>
            <w:tcW w:w="6850" w:type="dxa"/>
            <w:tcBorders>
              <w:right w:val="single" w:color="auto" w:sz="4" w:space="0"/>
            </w:tcBorders>
            <w:vAlign w:val="center"/>
          </w:tcPr>
          <w:p>
            <w:pPr>
              <w:pStyle w:val="84"/>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1、投标人所递交的投标文件（包括有关资料、澄清（如有））应真实可信，不存在虚假（包括隐瞒）。</w:t>
            </w:r>
          </w:p>
          <w:p>
            <w:pPr>
              <w:pStyle w:val="84"/>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2、投标人声明（承诺）不存在限制投标情形和违反投标纪律要求的行为，但被发现存在限制投标情形和违反投标纪律要求的行为，构成隐瞒，属于虚假投标行为。</w:t>
            </w:r>
          </w:p>
          <w:p>
            <w:pPr>
              <w:pStyle w:val="84"/>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3、若投标文件存在虚假，在评标阶段，评标小组应将该投标文件作无效投标处理；中标候选人确定后发现的，可以取消中标候选人或中标资格。被确定为中标人并签订合同的，有权解除合同，由此产生的一切法律责任由该中标人承担，且有权要求该中标人支付违约金或损害赔偿金。</w:t>
            </w:r>
          </w:p>
          <w:p>
            <w:pPr>
              <w:pStyle w:val="84"/>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4、一经查实提供虚假资料将取消中标资格，其投标保证金不予退还。</w:t>
            </w:r>
          </w:p>
          <w:p>
            <w:pPr>
              <w:pStyle w:val="84"/>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5、投标人存在虚假投标行为的，将在一定期限内限制其投标活动的。</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21</w:t>
            </w:r>
          </w:p>
        </w:tc>
        <w:tc>
          <w:tcPr>
            <w:tcW w:w="1746" w:type="dxa"/>
            <w:vAlign w:val="center"/>
          </w:tcPr>
          <w:p>
            <w:pPr>
              <w:adjustRightInd w:val="0"/>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评标小组</w:t>
            </w:r>
          </w:p>
        </w:tc>
        <w:tc>
          <w:tcPr>
            <w:tcW w:w="6850" w:type="dxa"/>
            <w:tcBorders>
              <w:right w:val="single" w:color="auto" w:sz="4" w:space="0"/>
            </w:tcBorders>
            <w:vAlign w:val="center"/>
          </w:tcPr>
          <w:p>
            <w:pPr>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由招标人依法组建。</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22</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t>中标候选人及中标人</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eastAsia="zh-CN" w:bidi="ar-SA"/>
                <w14:textFill>
                  <w14:solidFill>
                    <w14:schemeClr w14:val="tx1"/>
                  </w14:solidFill>
                </w14:textFill>
              </w:rPr>
              <w:t>由评标小组推荐中标候选人数：</w:t>
            </w:r>
            <w:r>
              <w:rPr>
                <w:rFonts w:hint="eastAsia" w:asciiTheme="majorEastAsia" w:hAnsiTheme="majorEastAsia" w:eastAsiaTheme="majorEastAsia" w:cstheme="majorEastAsia"/>
                <w:color w:val="000000" w:themeColor="text1"/>
                <w:sz w:val="21"/>
                <w:szCs w:val="21"/>
                <w:highlight w:val="none"/>
                <w:lang w:val="en-US" w:eastAsia="zh-CN" w:bidi="ar-SA"/>
                <w14:textFill>
                  <w14:solidFill>
                    <w14:schemeClr w14:val="tx1"/>
                  </w14:solidFill>
                </w14:textFill>
              </w:rPr>
              <w:t>3</w:t>
            </w:r>
            <w:r>
              <w:rPr>
                <w:rFonts w:hint="eastAsia" w:asciiTheme="majorEastAsia" w:hAnsiTheme="majorEastAsia" w:eastAsiaTheme="majorEastAsia" w:cstheme="majorEastAsia"/>
                <w:color w:val="000000" w:themeColor="text1"/>
                <w:sz w:val="21"/>
                <w:szCs w:val="21"/>
                <w:highlight w:val="none"/>
                <w:lang w:val="zh-CN" w:eastAsia="zh-CN" w:bidi="ar-SA"/>
                <w14:textFill>
                  <w14:solidFill>
                    <w14:schemeClr w14:val="tx1"/>
                  </w14:solidFill>
                </w14:textFill>
              </w:rPr>
              <w:t>名。原则上选取综合得分第一中标候选人作为中标人，若第一中标候选人因自身原因放弃中标或被取消中标资格，可以根据中标候选人排名顺序顺延确定中标人，也可以重新招标。招标人将根据需要对评标出来的第一中标候选人进行必要的现场考察。</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23</w:t>
            </w:r>
          </w:p>
        </w:tc>
        <w:tc>
          <w:tcPr>
            <w:tcW w:w="1746" w:type="dxa"/>
            <w:vAlign w:val="center"/>
          </w:tcPr>
          <w:p>
            <w:pPr>
              <w:adjustRightInd w:val="0"/>
              <w:spacing w:line="38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1"/>
                <w:szCs w:val="21"/>
                <w:highlight w:val="none"/>
                <w:lang w:val="zh-CN"/>
                <w14:textFill>
                  <w14:solidFill>
                    <w14:schemeClr w14:val="tx1"/>
                  </w14:solidFill>
                </w14:textFill>
              </w:rPr>
              <w:t>评标结果通知</w:t>
            </w:r>
          </w:p>
        </w:tc>
        <w:tc>
          <w:tcPr>
            <w:tcW w:w="6850" w:type="dxa"/>
            <w:tcBorders>
              <w:right w:val="single" w:color="auto" w:sz="4" w:space="0"/>
            </w:tcBorders>
            <w:vAlign w:val="center"/>
          </w:tcPr>
          <w:p>
            <w:pPr>
              <w:spacing w:line="240" w:lineRule="auto"/>
              <w:ind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宋体" w:hAnsi="宋体" w:eastAsia="宋体" w:cs="宋体"/>
                <w:snapToGrid w:val="0"/>
                <w:color w:val="000000" w:themeColor="text1"/>
                <w:sz w:val="21"/>
                <w:szCs w:val="21"/>
                <w:highlight w:val="none"/>
                <w:lang w:val="zh-CN"/>
                <w14:textFill>
                  <w14:solidFill>
                    <w14:schemeClr w14:val="tx1"/>
                  </w14:solidFill>
                </w14:textFill>
              </w:rPr>
              <w:t>评标结果</w:t>
            </w:r>
            <w:r>
              <w:rPr>
                <w:rFonts w:hint="eastAsia" w:ascii="宋体" w:hAnsi="宋体" w:eastAsia="宋体" w:cs="宋体"/>
                <w:snapToGrid w:val="0"/>
                <w:color w:val="000000" w:themeColor="text1"/>
                <w:sz w:val="21"/>
                <w:szCs w:val="21"/>
                <w:highlight w:val="none"/>
                <w14:textFill>
                  <w14:solidFill>
                    <w14:schemeClr w14:val="tx1"/>
                  </w14:solidFill>
                </w14:textFill>
              </w:rPr>
              <w:t>将会以</w:t>
            </w:r>
            <w:r>
              <w:rPr>
                <w:rFonts w:hint="default" w:ascii="宋体" w:hAnsi="宋体" w:eastAsia="宋体" w:cs="宋体"/>
                <w:snapToGrid w:val="0"/>
                <w:color w:val="000000" w:themeColor="text1"/>
                <w:sz w:val="21"/>
                <w:szCs w:val="21"/>
                <w:highlight w:val="none"/>
                <w:lang w:val="en-US"/>
                <w14:textFill>
                  <w14:solidFill>
                    <w14:schemeClr w14:val="tx1"/>
                  </w14:solidFill>
                </w14:textFill>
              </w:rPr>
              <w:t>手机</w:t>
            </w:r>
            <w:r>
              <w:rPr>
                <w:rFonts w:hint="eastAsia" w:ascii="宋体" w:hAnsi="宋体" w:eastAsia="宋体" w:cs="宋体"/>
                <w:snapToGrid w:val="0"/>
                <w:color w:val="000000" w:themeColor="text1"/>
                <w:sz w:val="21"/>
                <w:szCs w:val="21"/>
                <w:highlight w:val="none"/>
                <w14:textFill>
                  <w14:solidFill>
                    <w14:schemeClr w14:val="tx1"/>
                  </w14:solidFill>
                </w14:textFill>
              </w:rPr>
              <w:t>短信方式通知投标人</w:t>
            </w:r>
            <w:r>
              <w:rPr>
                <w:rFonts w:hint="eastAsia" w:ascii="宋体" w:hAnsi="宋体" w:eastAsia="宋体" w:cs="宋体"/>
                <w:snapToGrid w:val="0"/>
                <w:color w:val="000000" w:themeColor="text1"/>
                <w:sz w:val="21"/>
                <w:szCs w:val="21"/>
                <w:highlight w:val="none"/>
                <w:lang w:val="zh-CN"/>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24</w:t>
            </w:r>
          </w:p>
        </w:tc>
        <w:tc>
          <w:tcPr>
            <w:tcW w:w="1746" w:type="dxa"/>
            <w:vAlign w:val="center"/>
          </w:tcPr>
          <w:p>
            <w:pPr>
              <w:pStyle w:val="9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授权代表有关要求</w:t>
            </w:r>
          </w:p>
        </w:tc>
        <w:tc>
          <w:tcPr>
            <w:tcW w:w="6850" w:type="dxa"/>
            <w:tcBorders>
              <w:right w:val="single" w:color="auto" w:sz="4" w:space="0"/>
            </w:tcBorders>
            <w:vAlign w:val="center"/>
          </w:tcPr>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当授权代表参加投标时：</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 xml:space="preserve">1、应当由授权代表递交投标文件，否则其投标文件将被拒收。 </w:t>
            </w:r>
          </w:p>
          <w:p>
            <w:pPr>
              <w:widowControl/>
              <w:tabs>
                <w:tab w:val="left" w:pos="1119"/>
              </w:tabs>
              <w:topLinePunct/>
              <w:spacing w:line="400" w:lineRule="exact"/>
              <w:ind w:right="105" w:firstLine="468" w:firstLineChars="223"/>
              <w:jc w:val="left"/>
              <w:rPr>
                <w:rFonts w:asciiTheme="majorEastAsia" w:hAnsiTheme="majorEastAsia" w:eastAsiaTheme="majorEastAsia" w:cstheme="majorEastAsia"/>
                <w:color w:val="000000" w:themeColor="text1"/>
                <w:sz w:val="21"/>
                <w:szCs w:val="21"/>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2、应当由授权代表参加开标会议，并进行开标和评标过程中所需要的相关资料签字。</w:t>
            </w:r>
          </w:p>
          <w:p>
            <w:pPr>
              <w:widowControl/>
              <w:tabs>
                <w:tab w:val="left" w:pos="1119"/>
              </w:tabs>
              <w:topLinePunct/>
              <w:spacing w:line="400" w:lineRule="exact"/>
              <w:ind w:right="105" w:firstLine="420" w:firstLineChars="0"/>
              <w:jc w:val="left"/>
              <w:rPr>
                <w:rFonts w:asciiTheme="majorEastAsia" w:hAnsiTheme="majorEastAsia" w:eastAsiaTheme="majorEastAsia" w:cstheme="majorEastAsia"/>
                <w:color w:val="000000" w:themeColor="text1"/>
                <w:highlight w:val="none"/>
                <w:lang w:val="zh-CN"/>
                <w14:textFill>
                  <w14:solidFill>
                    <w14:schemeClr w14:val="tx1"/>
                  </w14:solidFill>
                </w14:textFill>
              </w:rPr>
            </w:pPr>
            <w:r>
              <w:rPr>
                <w:rStyle w:val="113"/>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需提供投标单位为授权代表缴纳社保的</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书面</w:t>
            </w:r>
            <w:r>
              <w:rPr>
                <w:rStyle w:val="113"/>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承诺函</w:t>
            </w:r>
            <w:r>
              <w:rPr>
                <w:rStyle w:val="113"/>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或社保缴纳证明材料</w:t>
            </w: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w:t>
            </w:r>
            <w:r>
              <w:rPr>
                <w:rStyle w:val="113"/>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注：（授权代表的授权委托书、缴纳社保承诺函</w:t>
            </w:r>
            <w:r>
              <w:rPr>
                <w:rStyle w:val="113"/>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或社保缴纳证明材料</w:t>
            </w:r>
            <w:r>
              <w:rPr>
                <w:rStyle w:val="113"/>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应当制作一式两份，一份由授权代表随身携带，在递交投标文件时出示，另外一份装订在投标文件中）。</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25</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答疑</w:t>
            </w:r>
          </w:p>
        </w:tc>
        <w:tc>
          <w:tcPr>
            <w:tcW w:w="6850" w:type="dxa"/>
            <w:tcBorders>
              <w:right w:val="single" w:color="auto" w:sz="4" w:space="0"/>
            </w:tcBorders>
            <w:vAlign w:val="center"/>
          </w:tcPr>
          <w:p>
            <w:pPr>
              <w:pStyle w:val="84"/>
              <w:ind w:left="170" w:leftChars="50" w:right="170" w:rightChars="50" w:firstLine="210" w:firstLineChars="10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本项目不组织答疑会，如有需要另行通知。</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26</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保证金</w:t>
            </w:r>
          </w:p>
        </w:tc>
        <w:tc>
          <w:tcPr>
            <w:tcW w:w="6850" w:type="dxa"/>
            <w:tcBorders>
              <w:right w:val="single" w:color="auto" w:sz="4" w:space="0"/>
            </w:tcBorders>
            <w:vAlign w:val="center"/>
          </w:tcPr>
          <w:p>
            <w:pPr>
              <w:ind w:lef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 xml:space="preserve">金    额： </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1000</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00</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.00</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元（人民币大写：</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壹拾</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万元整）。</w:t>
            </w:r>
          </w:p>
          <w:p>
            <w:pPr>
              <w:ind w:left="105" w:firstLine="420"/>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账户名称：四川东辰(集团)股份有限公司</w:t>
            </w:r>
          </w:p>
          <w:p>
            <w:pPr>
              <w:ind w:left="105" w:firstLine="420"/>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银行账号：51001658694059001035</w:t>
            </w:r>
          </w:p>
          <w:p>
            <w:pPr>
              <w:ind w:left="105" w:firstLine="420"/>
              <w:rPr>
                <w:rFonts w:hint="eastAsia" w:asciiTheme="majorEastAsia" w:hAnsiTheme="majorEastAsia" w:eastAsiaTheme="majorEastAsia" w:cstheme="majorEastAsia"/>
                <w:color w:val="000000" w:themeColor="text1"/>
                <w:sz w:val="21"/>
                <w:szCs w:val="21"/>
                <w:highlight w:val="none"/>
                <w:lang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开户银行：中国建设银行股份有限公司绵阳火车客站支行</w:t>
            </w:r>
          </w:p>
          <w:p>
            <w:pPr>
              <w:ind w:lef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交款方式：1、银行转账形式；2、银行电汇形式；3、网上银行转账形式。不接受以现金方式交纳的保证金，不接受个人账户代缴保证金。交纳保证金的付款人名称须与投标人名称一致。</w:t>
            </w:r>
          </w:p>
          <w:p>
            <w:pPr>
              <w:ind w:left="105"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投标保证金交款截止时间：投标截止日前一天14:00</w:t>
            </w:r>
            <w:r>
              <w:rPr>
                <w:rFonts w:hint="eastAsia" w:asciiTheme="majorEastAsia" w:hAnsiTheme="majorEastAsia" w:eastAsiaTheme="majorEastAsia" w:cstheme="majorEastAsia"/>
                <w:color w:val="000000" w:themeColor="text1"/>
                <w:sz w:val="21"/>
                <w:szCs w:val="21"/>
                <w:highlight w:val="none"/>
                <w:lang w:eastAsia="zh-CN"/>
                <w14:textFill>
                  <w14:solidFill>
                    <w14:schemeClr w14:val="tx1"/>
                  </w14:solidFill>
                </w14:textFill>
              </w:rPr>
              <w:t>前</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(投标保证金的交纳以银行到账时间为准)。</w:t>
            </w:r>
          </w:p>
          <w:p>
            <w:pPr>
              <w:snapToGrid w:val="0"/>
              <w:ind w:lef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请在银行回单备注栏填写“项目名称”保证金。（仅用于查帐）</w:t>
            </w:r>
          </w:p>
          <w:p>
            <w:pPr>
              <w:snapToGrid w:val="0"/>
              <w:ind w:left="105" w:firstLine="42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招标</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人</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应当在中标候选人公示结束后</w:t>
            </w:r>
            <w:bookmarkStart w:id="7" w:name="OLE_LINK8"/>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5个工作日内</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一次性无息退还</w:t>
            </w:r>
            <w:bookmarkEnd w:id="7"/>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非中标候选人的投标保证金。</w:t>
            </w:r>
          </w:p>
          <w:p>
            <w:pPr>
              <w:pStyle w:val="44"/>
              <w:spacing w:line="360" w:lineRule="auto"/>
              <w:ind w:firstLine="630" w:firstLineChars="30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中标人的投标保证金在合同签订后</w:t>
            </w:r>
            <w:r>
              <w:rPr>
                <w:rFonts w:hint="eastAsia" w:asciiTheme="majorEastAsia" w:hAnsiTheme="majorEastAsia" w:eastAsiaTheme="majorEastAsia" w:cstheme="majorEastAsia"/>
                <w:color w:val="000000" w:themeColor="text1"/>
                <w:sz w:val="21"/>
                <w:szCs w:val="21"/>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5个工作日内</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一次性无息退还。</w:t>
            </w:r>
          </w:p>
          <w:p>
            <w:pPr>
              <w:pStyle w:val="84"/>
              <w:ind w:right="170" w:rightChars="50" w:firstLine="630" w:firstLineChars="30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投标人在投标截止时间前撤回已提交的投标文件的，招标</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人</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自收到投标人书面撤回通知之日起5个工作日内，退还已收取的投标保证金，但因投标人自身原因导致的无法及时退还的除外。</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27</w:t>
            </w:r>
          </w:p>
        </w:tc>
        <w:tc>
          <w:tcPr>
            <w:tcW w:w="1746" w:type="dxa"/>
            <w:vAlign w:val="center"/>
          </w:tcPr>
          <w:p>
            <w:pPr>
              <w:pStyle w:val="84"/>
              <w:ind w:left="170" w:leftChars="50" w:right="170" w:rightChars="50"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现场勘探</w:t>
            </w:r>
          </w:p>
        </w:tc>
        <w:tc>
          <w:tcPr>
            <w:tcW w:w="6850" w:type="dxa"/>
            <w:tcBorders>
              <w:right w:val="single" w:color="auto" w:sz="4" w:space="0"/>
            </w:tcBorders>
            <w:vAlign w:val="center"/>
          </w:tcPr>
          <w:p>
            <w:pPr>
              <w:pStyle w:val="84"/>
              <w:ind w:left="170" w:leftChars="50" w:right="170" w:rightChars="50"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asciiTheme="majorEastAsia" w:hAnsiTheme="majorEastAsia" w:eastAsiaTheme="majorEastAsia" w:cstheme="majorEastAsia"/>
                <w:color w:val="000000" w:themeColor="text1"/>
                <w:sz w:val="21"/>
                <w:szCs w:val="21"/>
                <w:highlight w:val="none"/>
                <w14:textFill>
                  <w14:solidFill>
                    <w14:schemeClr w14:val="tx1"/>
                  </w14:solidFill>
                </w14:textFill>
              </w:rPr>
              <w:t>招标文件发出后，由投标人自行组织安排进行</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现场</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踏勘，</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招标人可协助联系项目现场人员</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配合</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以使投标人充分了解本项目周边状况、现场条件、现场布置情况和可能影响到投标人投标报价的其他所有事项。</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招标人</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在踏勘现场中介绍的场地和相关的周边环境情况，供投标人在编制投标文件时参考，</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招标人</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不对投标人据此作出的判断和决策负责。投标人递交的投标文件，视为投标人已对现场进行了充分考察，且充分考虑了现场因素。投标单位中标后，不得以不完全了解现场情况为由而向采购人提出任何索赔或加价的要求，对此采购人不承担任何责任并将不</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做</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任何答复</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，勘查现场</w:t>
            </w:r>
            <w:r>
              <w:rPr>
                <w:rFonts w:asciiTheme="majorEastAsia" w:hAnsiTheme="majorEastAsia" w:eastAsiaTheme="majorEastAsia" w:cstheme="majorEastAsia"/>
                <w:color w:val="000000" w:themeColor="text1"/>
                <w:sz w:val="21"/>
                <w:szCs w:val="21"/>
                <w:highlight w:val="none"/>
                <w14:textFill>
                  <w14:solidFill>
                    <w14:schemeClr w14:val="tx1"/>
                  </w14:solidFill>
                </w14:textFill>
              </w:rPr>
              <w:t>费用自理</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28</w:t>
            </w:r>
          </w:p>
        </w:tc>
        <w:tc>
          <w:tcPr>
            <w:tcW w:w="1746" w:type="dxa"/>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资格筛查</w:t>
            </w:r>
          </w:p>
        </w:tc>
        <w:tc>
          <w:tcPr>
            <w:tcW w:w="6850" w:type="dxa"/>
            <w:tcBorders>
              <w:right w:val="single" w:color="auto" w:sz="4" w:space="0"/>
            </w:tcBorders>
            <w:vAlign w:val="center"/>
          </w:tcPr>
          <w:p>
            <w:pPr>
              <w:pStyle w:val="84"/>
              <w:ind w:left="170" w:leftChars="50" w:right="170" w:rightChars="50" w:firstLine="420"/>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根据投标报名实际情况，招标人可进行资格初审。初审结果以手机短信通知为准（手机号码：</w:t>
            </w:r>
            <w:r>
              <w:rPr>
                <w:rFonts w:hint="eastAsia" w:asciiTheme="majorEastAsia" w:hAnsiTheme="majorEastAsia" w:eastAsiaTheme="majorEastAsia" w:cstheme="majorEastAsia"/>
                <w:color w:val="000000" w:themeColor="text1"/>
                <w:sz w:val="24"/>
                <w:szCs w:val="24"/>
                <w:highlight w:val="none"/>
                <w:lang w:val="en-US" w:eastAsia="zh-CN" w:bidi="ar-SA"/>
                <w14:textFill>
                  <w14:solidFill>
                    <w14:schemeClr w14:val="tx1"/>
                  </w14:solidFill>
                </w14:textFill>
              </w:rPr>
              <w:t>18681690134）；</w:t>
            </w:r>
            <w:r>
              <w:rPr>
                <w:rFonts w:hint="eastAsia" w:asciiTheme="majorEastAsia" w:hAnsiTheme="majorEastAsia" w:eastAsiaTheme="majorEastAsia" w:cstheme="majorEastAsia"/>
                <w:snapToGrid w:val="0"/>
                <w:color w:val="000000" w:themeColor="text1"/>
                <w:sz w:val="24"/>
                <w:szCs w:val="24"/>
                <w:highlight w:val="none"/>
                <w:lang w:eastAsia="zh-CN"/>
                <w14:textFill>
                  <w14:solidFill>
                    <w14:schemeClr w14:val="tx1"/>
                  </w14:solidFill>
                </w14:textFill>
              </w:rPr>
              <w:t>报名资格不得转让。</w:t>
            </w:r>
          </w:p>
        </w:tc>
      </w:tr>
      <w:tr>
        <w:tblPrEx>
          <w:tblBorders>
            <w:top w:val="single" w:color="auto" w:sz="18" w:space="0"/>
            <w:left w:val="single" w:color="auto" w:sz="18" w:space="0"/>
            <w:bottom w:val="single" w:color="auto" w:sz="18" w:space="0"/>
            <w:right w:val="single" w:color="auto" w:sz="18" w:space="0"/>
            <w:insideH w:val="single" w:color="auto" w:sz="8" w:space="0"/>
            <w:insideV w:val="single" w:color="auto" w:sz="8" w:space="0"/>
          </w:tblBorders>
          <w:tblLayout w:type="fixed"/>
          <w:tblCellMar>
            <w:top w:w="0" w:type="dxa"/>
            <w:left w:w="0" w:type="dxa"/>
            <w:bottom w:w="0" w:type="dxa"/>
            <w:right w:w="0" w:type="dxa"/>
          </w:tblCellMar>
        </w:tblPrEx>
        <w:trPr>
          <w:trHeight w:val="861" w:hRule="atLeast"/>
          <w:jc w:val="center"/>
        </w:trPr>
        <w:tc>
          <w:tcPr>
            <w:tcW w:w="599" w:type="dxa"/>
            <w:tcBorders>
              <w:left w:val="single" w:color="auto" w:sz="4" w:space="0"/>
              <w:bottom w:val="single" w:color="auto" w:sz="4" w:space="0"/>
            </w:tcBorders>
            <w:vAlign w:val="center"/>
          </w:tcPr>
          <w:p>
            <w:pPr>
              <w:pStyle w:val="84"/>
              <w:spacing w:line="360" w:lineRule="exact"/>
              <w:ind w:left="170" w:leftChars="50" w:right="170" w:rightChars="50" w:firstLine="0" w:firstLineChars="0"/>
              <w:jc w:val="center"/>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29</w:t>
            </w:r>
          </w:p>
        </w:tc>
        <w:tc>
          <w:tcPr>
            <w:tcW w:w="1746" w:type="dxa"/>
            <w:tcBorders>
              <w:bottom w:val="single" w:color="auto" w:sz="4" w:space="0"/>
            </w:tcBorders>
            <w:vAlign w:val="center"/>
          </w:tcPr>
          <w:p>
            <w:pPr>
              <w:pStyle w:val="84"/>
              <w:ind w:left="170" w:leftChars="50" w:right="170" w:rightChars="50" w:firstLine="0" w:firstLineChars="0"/>
              <w:jc w:val="center"/>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其他</w:t>
            </w:r>
          </w:p>
        </w:tc>
        <w:tc>
          <w:tcPr>
            <w:tcW w:w="6850" w:type="dxa"/>
            <w:tcBorders>
              <w:bottom w:val="single" w:color="auto" w:sz="4" w:space="0"/>
              <w:right w:val="single" w:color="auto" w:sz="4" w:space="0"/>
            </w:tcBorders>
            <w:vAlign w:val="center"/>
          </w:tcPr>
          <w:p>
            <w:pPr>
              <w:pStyle w:val="84"/>
              <w:ind w:right="170" w:rightChars="50"/>
              <w:rPr>
                <w:rFonts w:hint="default"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投标人只能参与本次招标项目一个标段，多报按废标处理。</w:t>
            </w:r>
          </w:p>
        </w:tc>
      </w:tr>
    </w:tbl>
    <w:p>
      <w:pPr>
        <w:ind w:right="105" w:firstLine="0" w:firstLineChars="0"/>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注：若投标人须知前附表中内容与招标文件相应内容不一致的，以投标人须知前附表为准。</w:t>
      </w:r>
    </w:p>
    <w:p>
      <w:pPr>
        <w:ind w:right="105" w:firstLine="3080" w:firstLineChars="1100"/>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一、总  则</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1.适用范围</w:t>
      </w:r>
    </w:p>
    <w:p>
      <w:pPr>
        <w:tabs>
          <w:tab w:val="left" w:pos="7665"/>
        </w:tabs>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 本招标文件仅适用于本次</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2025—2027年东辰集团</w:t>
      </w:r>
      <w:r>
        <w:rPr>
          <w:rFonts w:hint="eastAsia" w:hAnsi="宋体" w:eastAsia="宋体" w:cs="宋体"/>
          <w:bCs/>
          <w:color w:val="000000" w:themeColor="text1"/>
          <w:kern w:val="0"/>
          <w:sz w:val="24"/>
          <w:szCs w:val="24"/>
          <w:highlight w:val="none"/>
          <w:lang w:val="en-US" w:eastAsia="zh-CN"/>
          <w14:textFill>
            <w14:solidFill>
              <w14:schemeClr w14:val="tx1"/>
            </w14:solidFill>
          </w14:textFill>
        </w:rPr>
        <w:t>住宅物业</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板块保安服务</w:t>
      </w:r>
      <w:r>
        <w:rPr>
          <w:rFonts w:hint="eastAsia" w:hAnsi="宋体" w:eastAsia="宋体" w:cs="宋体"/>
          <w:bCs/>
          <w:color w:val="000000" w:themeColor="text1"/>
          <w:kern w:val="0"/>
          <w:sz w:val="24"/>
          <w:szCs w:val="24"/>
          <w:highlight w:val="none"/>
          <w:lang w:val="en-US" w:eastAsia="zh-CN"/>
          <w14:textFill>
            <w14:solidFill>
              <w14:schemeClr w14:val="tx1"/>
            </w14:solidFill>
          </w14:textFill>
        </w:rPr>
        <w:t>采购</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2.有关定义</w:t>
      </w:r>
    </w:p>
    <w:p>
      <w:pPr>
        <w:tabs>
          <w:tab w:val="left" w:pos="7665"/>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2.1 本项目招标人是</w:t>
      </w:r>
      <w:r>
        <w:rPr>
          <w:rFonts w:hint="eastAsia" w:asciiTheme="majorEastAsia" w:hAnsiTheme="majorEastAsia" w:eastAsiaTheme="majorEastAsia" w:cstheme="majorEastAsia"/>
          <w:b/>
          <w:bCs/>
          <w:color w:val="000000" w:themeColor="text1"/>
          <w:sz w:val="24"/>
          <w:szCs w:val="24"/>
          <w:highlight w:val="none"/>
          <w:lang w:val="en-US" w:eastAsia="zh-CN"/>
          <w14:textFill>
            <w14:solidFill>
              <w14:schemeClr w14:val="tx1"/>
            </w14:solidFill>
          </w14:textFill>
        </w:rPr>
        <w:t>四川东辰（集团）股份有限公司</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tabs>
          <w:tab w:val="left" w:pos="7665"/>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2.2 </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本招标公告或招标文件所指投标人，包括与投标人关联的相关公司及子公司</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3.投标人</w:t>
      </w:r>
    </w:p>
    <w:p>
      <w:pPr>
        <w:tabs>
          <w:tab w:val="left" w:pos="7665"/>
        </w:tabs>
        <w:ind w:right="105" w:firstLine="480"/>
        <w:rPr>
          <w:rFonts w:asciiTheme="majorEastAsia" w:hAnsiTheme="majorEastAsia" w:eastAsiaTheme="majorEastAsia" w:cstheme="majorEastAsia"/>
          <w:bCs/>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snapToGrid w:val="0"/>
          <w:color w:val="000000" w:themeColor="text1"/>
          <w:sz w:val="24"/>
          <w:szCs w:val="24"/>
          <w:highlight w:val="none"/>
          <w14:textFill>
            <w14:solidFill>
              <w14:schemeClr w14:val="tx1"/>
            </w14:solidFill>
          </w14:textFill>
        </w:rPr>
        <w:t>投标人需满足以下资格条件：</w:t>
      </w:r>
    </w:p>
    <w:p>
      <w:pPr>
        <w:tabs>
          <w:tab w:val="left" w:pos="7665"/>
        </w:tabs>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（1）必须完全符合本招标文件中规定的投标人资格条件，并提供相应的资格证明材料；</w:t>
      </w:r>
    </w:p>
    <w:p>
      <w:pPr>
        <w:tabs>
          <w:tab w:val="left" w:pos="7665"/>
        </w:tabs>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（2）不存在招标文件规定的限制投标情形；</w:t>
      </w:r>
    </w:p>
    <w:p>
      <w:pPr>
        <w:tabs>
          <w:tab w:val="left" w:pos="7665"/>
        </w:tabs>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（3）完全满足本招标文件中的所有内容，并做出实质性响应；</w:t>
      </w:r>
    </w:p>
    <w:p>
      <w:pPr>
        <w:tabs>
          <w:tab w:val="left" w:pos="7665"/>
        </w:tabs>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（4）遵守国家有关的法律法规要求；</w:t>
      </w:r>
    </w:p>
    <w:p>
      <w:pPr>
        <w:tabs>
          <w:tab w:val="left" w:pos="7665"/>
        </w:tabs>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（5）满足本</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招标文件</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其他条款规定及要求；</w:t>
      </w:r>
    </w:p>
    <w:p>
      <w:pPr>
        <w:tabs>
          <w:tab w:val="left" w:pos="7665"/>
        </w:tabs>
        <w:ind w:right="105" w:firstLine="482"/>
        <w:rPr>
          <w:rFonts w:hint="default" w:asciiTheme="majorEastAsia" w:hAnsiTheme="majorEastAsia" w:eastAsiaTheme="majorEastAsia" w:cstheme="majorEastAsia"/>
          <w:b/>
          <w:bCs/>
          <w:color w:val="000000" w:themeColor="text1"/>
          <w:sz w:val="24"/>
          <w:szCs w:val="24"/>
          <w:highlight w:val="no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b/>
          <w:bCs/>
          <w:color w:val="000000" w:themeColor="text1"/>
          <w:sz w:val="24"/>
          <w:szCs w:val="24"/>
          <w:highlight w:val="none"/>
          <w:lang w:val="en-US" w:eastAsia="zh-CN"/>
          <w14:textFill>
            <w14:solidFill>
              <w14:schemeClr w14:val="tx1"/>
            </w14:solidFill>
          </w14:textFill>
        </w:rPr>
        <w:t>6）本次招标投标人仅限1个标段，多投按废标处理。</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4.</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费用</w:t>
      </w:r>
    </w:p>
    <w:p>
      <w:pPr>
        <w:pStyle w:val="26"/>
        <w:spacing w:before="0" w:beforeAutospacing="0" w:after="0" w:afterAutospacing="0" w:line="420" w:lineRule="exact"/>
        <w:ind w:left="237" w:leftChars="70" w:firstLine="480" w:firstLineChars="20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eastAsia="宋体" w:cs="宋体"/>
          <w:bCs/>
          <w:color w:val="000000" w:themeColor="text1"/>
          <w:sz w:val="24"/>
          <w:szCs w:val="24"/>
          <w:highlight w:val="none"/>
          <w:lang w:eastAsia="zh-CN"/>
          <w14:textFill>
            <w14:solidFill>
              <w14:schemeClr w14:val="tx1"/>
            </w14:solidFill>
          </w14:textFill>
        </w:rPr>
        <w:t>本次投标</w:t>
      </w:r>
      <w:r>
        <w:rPr>
          <w:rFonts w:hint="eastAsia" w:eastAsia="宋体" w:cs="宋体"/>
          <w:bCs/>
          <w:color w:val="000000" w:themeColor="text1"/>
          <w:sz w:val="24"/>
          <w:szCs w:val="24"/>
          <w:highlight w:val="none"/>
          <w:lang w:val="en-US" w:eastAsia="zh-CN"/>
          <w14:textFill>
            <w14:solidFill>
              <w14:schemeClr w14:val="tx1"/>
            </w14:solidFill>
          </w14:textFill>
        </w:rPr>
        <w:t>不收取报名费</w:t>
      </w:r>
      <w:r>
        <w:rPr>
          <w:rFonts w:hint="eastAsia" w:eastAsia="宋体" w:cs="宋体"/>
          <w:bCs/>
          <w:color w:val="000000" w:themeColor="text1"/>
          <w:sz w:val="24"/>
          <w:szCs w:val="24"/>
          <w:highlight w:val="none"/>
          <w:lang w:eastAsia="zh-CN"/>
          <w14:textFill>
            <w14:solidFill>
              <w14:schemeClr w14:val="tx1"/>
            </w14:solidFill>
          </w14:textFill>
        </w:rPr>
        <w:t>；</w:t>
      </w:r>
      <w:r>
        <w:rPr>
          <w:rFonts w:hint="eastAsia" w:ascii="宋体" w:hAnsi="宋体" w:eastAsia="宋体" w:cs="宋体"/>
          <w:bCs/>
          <w:color w:val="000000" w:themeColor="text1"/>
          <w:sz w:val="24"/>
          <w:szCs w:val="24"/>
          <w:highlight w:val="none"/>
          <w14:textFill>
            <w14:solidFill>
              <w14:schemeClr w14:val="tx1"/>
            </w14:solidFill>
          </w14:textFill>
        </w:rPr>
        <w:t>报名时授权委托人须携带公司营业执照（复印件）、</w:t>
      </w:r>
      <w:r>
        <w:rPr>
          <w:rFonts w:hint="eastAsia" w:eastAsia="宋体" w:cs="宋体"/>
          <w:bCs/>
          <w:color w:val="000000" w:themeColor="text1"/>
          <w:sz w:val="24"/>
          <w:szCs w:val="24"/>
          <w:highlight w:val="none"/>
          <w:lang w:eastAsia="zh-CN"/>
          <w14:textFill>
            <w14:solidFill>
              <w14:schemeClr w14:val="tx1"/>
            </w14:solidFill>
          </w14:textFill>
        </w:rPr>
        <w:t>保安服务许可证（复印件）、单位介绍信原件、</w:t>
      </w:r>
      <w:r>
        <w:rPr>
          <w:rFonts w:hint="eastAsia" w:ascii="宋体" w:hAnsi="宋体" w:eastAsia="宋体" w:cs="宋体"/>
          <w:bCs/>
          <w:color w:val="000000" w:themeColor="text1"/>
          <w:sz w:val="24"/>
          <w:szCs w:val="24"/>
          <w:highlight w:val="none"/>
          <w14:textFill>
            <w14:solidFill>
              <w14:schemeClr w14:val="tx1"/>
            </w14:solidFill>
          </w14:textFill>
        </w:rPr>
        <w:t>经办人身份证复印件；</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无论投标过程如何进行，以及最终结果如何，投标人需自行承担所有与投标活动相关的费用，包括但不限于现场勘探费用等。</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5．充分、公平竞争保障措施</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5.1利害关系授权代表的处理。两家以上的投标人不得在同一合同项下的采购项目中，委托同一个自然人、同一家庭的人员、同一单位的人员作为其授权代表，否则，其投标文件作为无效处理。</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5.2回避。本次采购活动中，招标人员及相关人员与投标人有下列利害关系之一的，应当回避：</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（1）参加采购活动前3年内与投标人存在劳动关系；</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（2）参加采购活动前3年内担任投标人的董事、监事；</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（3）参加采购活动前3年内是投标人的控股股东或者实际控制人；</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（4）与投标人的法定代表人或者主要负责人有夫妻、直系血亲、三代以内旁系血亲或者近姻亲关系；</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（5）与投标人有其他可能影响采购活动公平、公正进行的关系。</w:t>
      </w:r>
    </w:p>
    <w:p>
      <w:pPr>
        <w:pStyle w:val="84"/>
        <w:spacing w:line="360" w:lineRule="auto"/>
        <w:ind w:left="1"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若投标人认为招标人员及相关人员与其他投标人存在利害关系，有权向招标人提交书面回避申请，并附具相关理由。招标人将及时询问被申请回避人员，有利害关系的被申请回避人员应当回避。</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二、招标文件</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6．招标文件的构成</w:t>
      </w:r>
    </w:p>
    <w:p>
      <w:pPr>
        <w:tabs>
          <w:tab w:val="left" w:pos="7665"/>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6.1招标文件是投标人准备投标文件和参加投标的依据，同时也是评标的重要依据。招标文件详细阐述了招标项目的资格要求、技术标准、服务需求、报价范围、招标投标流程、相关规定及注意事项，并明确了合同的主要条款。本招标文件包括以下内容：</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（1）招标公告；</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（2）投标人须知；</w:t>
      </w:r>
    </w:p>
    <w:p>
      <w:pPr>
        <w:pStyle w:val="9"/>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（3）主要采购内容及技术、商务要求；</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（4）评标办法；</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（5）投标文件格式；</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（6）合同主要条款；</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2投标人</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收到</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招标文件</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时，应检查页数和附件数量，发现任何页数或附件数量的遗缺，任何数字或词汇模糊不清，任何词义含混不清，应告知招标人补全或澄清。如果</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不按上述提出要求而造成不良后果，招标人不承担责任。</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投标人需仔细阅读并深入理解招标文件中包含的所有事项、格式条款以及规范要求。投标人应详细阅读招标文件的全部内容，并实质性响应招标文件的要求。</w:t>
      </w:r>
    </w:p>
    <w:p>
      <w:pPr>
        <w:tabs>
          <w:tab w:val="left" w:pos="7665"/>
        </w:tabs>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7. 招标文件的澄清和修改</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7.1 在</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截止时间之前，无论出于何种原因，招标人可以对招标文件进行澄清或者修改。</w:t>
      </w:r>
    </w:p>
    <w:p>
      <w:pPr>
        <w:tabs>
          <w:tab w:val="left" w:pos="720"/>
        </w:tabs>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7.2 对已发出的招标文件进行澄清或者修改，招标人以书面形式将澄清或者修改的内容通知所有收到招标文件的投标人，该澄清或者修改的内容为招标文件的组成部分。</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所有已接收招标文件的投标人须密切关注本项目招标文件的澄清及修改内容，并及时进行阅读、下载、截图及打印等操作。投标人若未能履行此义务，则需自行承担由此导致的投标不利后果。</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若澄清或修改内容可能影响投标文件编制，招标人需在投标截止时间至少3日前，以书面形式通告所有已获取招标文件的潜在投标人；不足3日的，招标人应当顺延提交投标文件的截止时间。</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 投标人要求对招标文件进行澄清的，应当在</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截止日3日前按招标文件中的联系方式，以书面形式通知招标人。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7.4 招标文件的澄清或者修改将成为招标文件的一部分，对招标人、投标人都具有约束力。</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7.5 </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本项目</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中的未尽事项，按现行有效的采购相关的法律法规、规范性文件执行。本项目</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中的内容与现行有效的采购相关的法律法规、规范性</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文件规定有冲突或背离的，按照现行有效的采购相关的法律法规、规范性文件执行。</w:t>
      </w:r>
    </w:p>
    <w:p>
      <w:pPr>
        <w:ind w:right="105" w:firstLine="482"/>
        <w:jc w:val="left"/>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8. 答疑会</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8.1 根据采购项目和具体情况，若有必要召开，将以书面形式通知所有投标人。</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三、投标文件编写</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应按照招标文件的规定和要求编制投标文件。投标人拟在中标后将中标项目的非主体、非关键性工作交由他人完成的，应当在投标文件中载明。投标人应仔细阅读招标文件的所有内容，按招标文件的要求提供投标文件，并保证所提供的全部资料的真实性，以使其投标对招标文件的实质性要求做出完全响应，否则，其投标可能被拒绝。</w:t>
      </w:r>
    </w:p>
    <w:p>
      <w:pPr>
        <w:ind w:right="105" w:firstLine="482"/>
        <w:jc w:val="left"/>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9．</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的语言</w:t>
      </w:r>
    </w:p>
    <w:p>
      <w:pPr>
        <w:ind w:right="105" w:firstLine="480"/>
        <w:jc w:val="left"/>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9.1 投标人提交的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以及投标人与招标人就有关</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所有来往书面文件均须使用中文。投标文件中如附有外文资料，必须逐一对应翻译成中文并加盖投标人公章后附在相关外文资料后面（说明：投标人的法定代表人为外籍人士的，法定代表人的签字和护照除外），</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否则，投标人的该份外文资料无效。</w:t>
      </w:r>
    </w:p>
    <w:p>
      <w:pPr>
        <w:ind w:right="105" w:firstLine="480"/>
        <w:jc w:val="left"/>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9.2 翻译的中文资料与外文资料如果出现差异和矛盾时，以中文为准。但不能故意</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错误翻译，否则，投标人的投标文件将作为无效投标文件处理。</w:t>
      </w:r>
    </w:p>
    <w:p>
      <w:pPr>
        <w:ind w:right="105" w:firstLine="482"/>
        <w:jc w:val="left"/>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10．计量单位</w:t>
      </w:r>
    </w:p>
    <w:p>
      <w:pPr>
        <w:ind w:right="105" w:firstLine="480"/>
        <w:jc w:val="left"/>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10.1除技术规格及要求中另有规定外，本采购项目的投标均采用国家法定的计量单位。</w:t>
      </w:r>
    </w:p>
    <w:p>
      <w:pPr>
        <w:ind w:right="105" w:firstLine="482"/>
        <w:jc w:val="left"/>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11. 投标货币</w:t>
      </w:r>
    </w:p>
    <w:p>
      <w:pPr>
        <w:ind w:right="105" w:firstLine="480"/>
        <w:jc w:val="left"/>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11.1本次招标项目的投标均以人民币报价。</w:t>
      </w:r>
    </w:p>
    <w:p>
      <w:pPr>
        <w:ind w:right="105" w:firstLine="482"/>
        <w:jc w:val="left"/>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12．联合体投标</w:t>
      </w:r>
    </w:p>
    <w:p>
      <w:pPr>
        <w:ind w:right="105" w:firstLine="480"/>
        <w:jc w:val="left"/>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12.1不接受联合体投标。</w:t>
      </w:r>
    </w:p>
    <w:p>
      <w:pPr>
        <w:ind w:right="105" w:firstLine="482"/>
        <w:jc w:val="left"/>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13. 知识产权、货物产权</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13.1 投标人应确保在本项目中所使用的任何产品（货物）和服务（包括部分使用）均不会引发第三方提出的专利权、商标权、货物产权或其他知识产权的侵权指控，进而导致法律和经济纠纷。一旦发生此类纠纷，投标人将承担全部相关责任。</w:t>
      </w:r>
    </w:p>
    <w:p>
      <w:pPr>
        <w:ind w:right="105" w:firstLine="480"/>
        <w:jc w:val="left"/>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13.2 招标人享有本项目实施过程中</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产生的知识成果及知识产权、货物产权。</w:t>
      </w:r>
    </w:p>
    <w:p>
      <w:pPr>
        <w:ind w:right="105"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13.3 投标人如欲在项目实施过程中采用自有知识成果，需在投标文件中声明，并提供相关知识产权证明文件。使用该知识成果后，投标人需提供开发接口和开发手册等技术文档，并承诺提供无限期技术支持，招标人享有永久使用权</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（含招标人委托第三方在该项目后续开发的使用权）</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13.4 如采用投标人所拥有的知识产权、货物产权，则在投标报价中必须包括合法获取该知识产权、货物产权的相关费用。</w:t>
      </w:r>
    </w:p>
    <w:p>
      <w:pPr>
        <w:ind w:right="105" w:firstLine="482"/>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14．</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 xml:space="preserve">的组成  </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14.1 投标人应按照招标文件的规定和要求编制</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14.2 投标人编写的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应包括但不限于以下内容：</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投标文件分为投标报价表、资格审查资料和其他投标文件资料，具体包括下列内容：</w:t>
      </w:r>
    </w:p>
    <w:p>
      <w:pPr>
        <w:ind w:right="105" w:firstLine="480"/>
        <w:jc w:val="left"/>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14.2.1</w:t>
      </w: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商务技术部分包括以下内容：</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a.商务部分投标文件封面；（见附件1）</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b.投标报价表；（见附件2）</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14.2.2</w:t>
      </w: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资信部分包括以下内容（至少包括下列但不限于下列内容）：</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a.资信部分投标文件封面；（见附件3）</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b.投标函；（见附件4）</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c.投标人声明；（见附件5）</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d.营业执照及绵阳市公安局出具的备案证明文件；（复印件）</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e.法定代表人授权委托书（若为委托代理人，并附委托代理人身份证复印件）；（见附件6）</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f.法定代表人身份证明书（附法定代表人身份证复印件）；（见附件7）</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g.拟派遣的项目主管简历；（见附件8）</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h.承诺函；（见附件9）</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i.公司业绩；（见附件10）</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j.投标人至今已承接服务项目所获得的荣誉及奖项证明材料；</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K.投标人认为需要提供的其他证明材料（如公司简介、企业培训、队伍建设等）。</w:t>
      </w:r>
    </w:p>
    <w:p>
      <w:pPr>
        <w:ind w:right="105"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14.3 报价部分。</w:t>
      </w:r>
    </w:p>
    <w:p>
      <w:pPr>
        <w:ind w:right="105"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 本次招标报价要求：</w:t>
      </w:r>
    </w:p>
    <w:p>
      <w:pPr>
        <w:ind w:right="105" w:firstLine="480"/>
        <w:rPr>
          <w:rFonts w:hAnsi="宋体" w:eastAsia="宋体" w:cs="宋体"/>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w:t>
      </w:r>
      <w:r>
        <w:rPr>
          <w:rFonts w:hint="eastAsia" w:hAnsi="宋体" w:eastAsia="宋体" w:cs="宋体"/>
          <w:color w:val="000000" w:themeColor="text1"/>
          <w:sz w:val="24"/>
          <w:szCs w:val="24"/>
          <w:highlight w:val="none"/>
          <w14:textFill>
            <w14:solidFill>
              <w14:schemeClr w14:val="tx1"/>
            </w14:solidFill>
          </w14:textFill>
        </w:rPr>
        <w:t>投标人的报价应全面体现其对招标项目要求的响应，包括但不限于：人员工资、五险一金、年度考核绩效、加班工资、福利待遇以及投标人的管理费用。报价中必须包括完成服务项目的全部费用、合理的利润。中标人需承担自合同签订起至合同结束前的一切相关费用和风险。</w:t>
      </w:r>
    </w:p>
    <w:p>
      <w:pPr>
        <w:numPr>
          <w:ilvl w:val="0"/>
          <w:numId w:val="2"/>
        </w:numPr>
        <w:ind w:right="105"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投标人应对所有招标内容进行报价，不得遗漏。</w:t>
      </w:r>
    </w:p>
    <w:p>
      <w:pPr>
        <w:ind w:right="105" w:firstLine="480"/>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（3）投标人只允许对同一项目品名有一个报价，并且在合同履行过程中是固定不变的，任何含有选择性或可调整性的报价均将不被接受，并将视为无效投标处理。</w:t>
      </w:r>
    </w:p>
    <w:p>
      <w:pPr>
        <w:ind w:right="105" w:firstLine="470" w:firstLineChars="196"/>
        <w:rPr>
          <w:rFonts w:asciiTheme="majorEastAsia" w:hAnsiTheme="majorEastAsia" w:eastAsiaTheme="majorEastAsia" w:cstheme="majorEastAsia"/>
          <w:b/>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特别提醒：投标人在编制投标文件时，相关资料如属于资格性投标文件的组成部分，应在资格性文件中提供；相关资料如属于技术、商务投标文件的组成部分，应在技术、商务投标文件中提供；无法判断或两部分都可能需要时，可以在资格性投标文件和技术、商务投标文件中同时提供。若资格性投标文件内容错误地装入技术、商务投标文件中，或技术、商务投标文件内容错误地装入资格性投标文件中，因此导致的任何不利评审结果，均由投标人自行承担。</w:t>
      </w:r>
    </w:p>
    <w:p>
      <w:pPr>
        <w:ind w:right="105" w:firstLine="470" w:firstLineChars="196"/>
        <w:rPr>
          <w:rFonts w:asciiTheme="majorEastAsia" w:hAnsiTheme="majorEastAsia" w:eastAsiaTheme="majorEastAsia" w:cstheme="majorEastAsia"/>
          <w:b/>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lang w:val="zh-TW"/>
          <w14:textFill>
            <w14:solidFill>
              <w14:schemeClr w14:val="tx1"/>
            </w14:solidFill>
          </w14:textFill>
        </w:rPr>
        <w:t>15．</w:t>
      </w:r>
      <w:r>
        <w:rPr>
          <w:rFonts w:hint="eastAsia" w:asciiTheme="majorEastAsia" w:hAnsiTheme="majorEastAsia" w:eastAsiaTheme="majorEastAsia" w:cstheme="majorEastAsia"/>
          <w:b/>
          <w:color w:val="000000" w:themeColor="text1"/>
          <w:sz w:val="24"/>
          <w:szCs w:val="24"/>
          <w:highlight w:val="none"/>
          <w:lang w:val="zh-CN"/>
          <w14:textFill>
            <w14:solidFill>
              <w14:schemeClr w14:val="tx1"/>
            </w14:solidFill>
          </w14:textFill>
        </w:rPr>
        <w:t>投标文件格式要求</w:t>
      </w:r>
    </w:p>
    <w:p>
      <w:pPr>
        <w:ind w:right="105" w:firstLine="470" w:firstLineChars="196"/>
        <w:rPr>
          <w:rFonts w:asciiTheme="majorEastAsia" w:hAnsiTheme="majorEastAsia" w:eastAsiaTheme="majorEastAsia" w:cstheme="majorEastAsia"/>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TW"/>
          <w14:textFill>
            <w14:solidFill>
              <w14:schemeClr w14:val="tx1"/>
            </w14:solidFill>
          </w14:textFill>
        </w:rPr>
        <w:t>15.1投标人应执行招标文件第五章的规定要求。</w:t>
      </w:r>
    </w:p>
    <w:p>
      <w:pPr>
        <w:ind w:right="105"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TW"/>
          <w14:textFill>
            <w14:solidFill>
              <w14:schemeClr w14:val="tx1"/>
            </w14:solidFill>
          </w14:textFill>
        </w:rPr>
        <w:t>15.2 对于没有格式要求的投标文件由投标人自行编写。</w:t>
      </w:r>
    </w:p>
    <w:p>
      <w:pPr>
        <w:ind w:right="105" w:firstLine="482"/>
        <w:jc w:val="left"/>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16．</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有效期</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16.1 </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有效期见投标人须知前附表第11项。</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有效期短于此规定期限的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，将被拒绝。</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 16.2 特殊情况下，招标人可于</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有效期满之前要求投标人同意延长有效期，要求与答复均应为书面形式。投标人可以拒绝上述要求，其</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保证金</w:t>
      </w:r>
      <w:r>
        <w:rPr>
          <w:rFonts w:hint="eastAsia" w:asciiTheme="majorEastAsia" w:hAnsiTheme="majorEastAsia" w:eastAsiaTheme="majorEastAsia" w:cstheme="majorEastAsia"/>
          <w:color w:val="000000" w:themeColor="text1"/>
          <w:spacing w:val="8"/>
          <w:sz w:val="24"/>
          <w:szCs w:val="24"/>
          <w:highlight w:val="none"/>
          <w14:textFill>
            <w14:solidFill>
              <w14:schemeClr w14:val="tx1"/>
            </w14:solidFill>
          </w14:textFill>
        </w:rPr>
        <w:t>不被没收。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拒绝延长</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有效期的投标人不得再参与该项目后续采购活动。同意延长</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有效期的投标人不能修改其</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关于</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保证金的有关规定在延长的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有效期内继续有效。</w:t>
      </w:r>
    </w:p>
    <w:p>
      <w:pPr>
        <w:tabs>
          <w:tab w:val="left" w:pos="1080"/>
        </w:tabs>
        <w:ind w:right="105" w:firstLine="460" w:firstLineChars="19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17．</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的印制和签署（实质性要求，不满足为无效投标）</w:t>
      </w:r>
    </w:p>
    <w:p>
      <w:pPr>
        <w:pStyle w:val="10"/>
        <w:tabs>
          <w:tab w:val="left" w:pos="0"/>
        </w:tabs>
        <w:spacing w:line="360" w:lineRule="auto"/>
        <w:ind w:right="105" w:firstLine="480" w:firstLineChars="200"/>
        <w:rPr>
          <w:rFonts w:asciiTheme="majorEastAsia" w:hAnsiTheme="majorEastAsia" w:eastAsiaTheme="majorEastAsia" w:cstheme="majorEastAsia"/>
          <w:color w:val="000000" w:themeColor="text1"/>
          <w:kern w:val="0"/>
          <w:sz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highlight w:val="none"/>
          <w14:textFill>
            <w14:solidFill>
              <w14:schemeClr w14:val="tx1"/>
            </w14:solidFill>
          </w14:textFill>
        </w:rPr>
        <w:t>17.1 投标人应按投标文件准备正本1份</w:t>
      </w:r>
      <w:r>
        <w:rPr>
          <w:rFonts w:hint="eastAsia" w:asciiTheme="majorEastAsia" w:hAnsiTheme="majorEastAsia" w:eastAsiaTheme="majorEastAsia" w:cstheme="majorEastAsia"/>
          <w:color w:val="000000" w:themeColor="text1"/>
          <w:kern w:val="0"/>
          <w:sz w:val="24"/>
          <w:highlight w:val="none"/>
          <w:lang w:eastAsia="zh-CN"/>
          <w14:textFill>
            <w14:solidFill>
              <w14:schemeClr w14:val="tx1"/>
            </w14:solidFill>
          </w14:textFill>
        </w:rPr>
        <w:t>、副本</w:t>
      </w:r>
      <w:r>
        <w:rPr>
          <w:rFonts w:hint="eastAsia" w:asciiTheme="majorEastAsia" w:hAnsiTheme="majorEastAsia" w:eastAsiaTheme="majorEastAsia" w:cstheme="majorEastAsia"/>
          <w:color w:val="000000" w:themeColor="text1"/>
          <w:kern w:val="0"/>
          <w:sz w:val="24"/>
          <w:highlight w:val="none"/>
          <w:lang w:val="en-US" w:eastAsia="zh-CN"/>
          <w14:textFill>
            <w14:solidFill>
              <w14:schemeClr w14:val="tx1"/>
            </w14:solidFill>
          </w14:textFill>
        </w:rPr>
        <w:t>3份、电子文档（U盘）1份</w:t>
      </w:r>
      <w:r>
        <w:rPr>
          <w:rFonts w:hint="eastAsia" w:asciiTheme="majorEastAsia" w:hAnsiTheme="majorEastAsia" w:eastAsiaTheme="majorEastAsia" w:cstheme="majorEastAsia"/>
          <w:color w:val="000000" w:themeColor="text1"/>
          <w:kern w:val="0"/>
          <w:sz w:val="24"/>
          <w:highlight w:val="none"/>
          <w14:textFill>
            <w14:solidFill>
              <w14:schemeClr w14:val="tx1"/>
            </w14:solidFill>
          </w14:textFill>
        </w:rPr>
        <w:t>。</w:t>
      </w:r>
    </w:p>
    <w:p>
      <w:pPr>
        <w:tabs>
          <w:tab w:val="left" w:pos="1095"/>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17.2 </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的正本需打印或用不褪色、不变质的墨水书写，并由投标人的法定代表人或其授权代表人在规定处签字和盖鲜章。</w:t>
      </w:r>
    </w:p>
    <w:p>
      <w:pPr>
        <w:tabs>
          <w:tab w:val="left" w:pos="1095"/>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17.3 </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的打印和书写应清楚工整，任何行间插字、涂改或增删，必须由投标人的法定代表人或其授权代表签字或盖个人印鉴。若投标文件字迹潦草、表述模糊或存在多重解读可能，则将可能被判定为无效投标。</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17.4 </w:t>
      </w:r>
      <w:r>
        <w:rPr>
          <w:rFonts w:hint="eastAsia" w:asciiTheme="majorEastAsia" w:hAnsiTheme="majorEastAsia" w:eastAsiaTheme="majorEastAsia" w:cstheme="majorEastAsia"/>
          <w:b/>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正副本必须以项目品名为单位装订成册，必须胶装，不得散装或者合页装订（实质性要求）</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17.5 </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投标文件须严格遵循招标文件之规定进行编制，确保签署、盖章齐全，且内容完整无误。</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17.6 </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统一用A4幅面纸印制（图纸除外），逐页编码。</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.7 本次采购要求的复印件是指对图文进行复制后的文件，包括扫描、复印、影印等方式复制的材料。</w:t>
      </w:r>
    </w:p>
    <w:p>
      <w:pPr>
        <w:tabs>
          <w:tab w:val="left" w:pos="1080"/>
        </w:tabs>
        <w:ind w:right="105" w:firstLine="460" w:firstLineChars="192"/>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1</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8</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 投标文件的包装、密封和标注</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（实质性要求，不满足为无效投标）</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8</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.1投标人应在投标文件正本的封面上注明投标人名称、项目名称及标段号（如有）。</w:t>
      </w:r>
    </w:p>
    <w:p>
      <w:pPr>
        <w:tabs>
          <w:tab w:val="left" w:pos="1080"/>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18.2所有外层密封袋的封口处应粘贴牢固，并加盖密封章（投标人单位公章）。</w:t>
      </w:r>
    </w:p>
    <w:p>
      <w:pPr>
        <w:tabs>
          <w:tab w:val="left" w:pos="1095"/>
        </w:tabs>
        <w:ind w:right="105" w:firstLine="460" w:firstLineChars="192"/>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18.3未按以上要求进行包装和标注的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将不予接收。未</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按以上要求进行密封的投标文件也将被拒收。</w:t>
      </w:r>
    </w:p>
    <w:p>
      <w:pPr>
        <w:tabs>
          <w:tab w:val="left" w:pos="1095"/>
        </w:tabs>
        <w:ind w:right="105" w:firstLine="460" w:firstLineChars="192"/>
        <w:rPr>
          <w:rFonts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 xml:space="preserve">19. </w:t>
      </w:r>
      <w:r>
        <w:rPr>
          <w:rFonts w:hint="eastAsia" w:asciiTheme="majorEastAsia" w:hAnsiTheme="majorEastAsia" w:eastAsiaTheme="majorEastAsia" w:cstheme="majorEastAsia"/>
          <w:b/>
          <w:bCs/>
          <w:snapToGrid w:val="0"/>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b/>
          <w:bCs/>
          <w:snapToGrid w:val="0"/>
          <w:color w:val="000000" w:themeColor="text1"/>
          <w:sz w:val="24"/>
          <w:szCs w:val="24"/>
          <w:highlight w:val="none"/>
          <w14:textFill>
            <w14:solidFill>
              <w14:schemeClr w14:val="tx1"/>
            </w14:solidFill>
          </w14:textFill>
        </w:rPr>
        <w:t>的递交</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（实质性要求，不满足为无效投标）</w:t>
      </w:r>
    </w:p>
    <w:p>
      <w:pPr>
        <w:tabs>
          <w:tab w:val="left" w:pos="1095"/>
        </w:tabs>
        <w:ind w:right="105" w:firstLine="460" w:firstLineChars="192"/>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19.1 投标人应在招标文件规定的投标时间内，将所有的投标文件按规定密封后送达开标地点。在招标文件规定的递交投标文件时间外送达的投标文件将被拒收。</w:t>
      </w:r>
    </w:p>
    <w:p>
      <w:pPr>
        <w:tabs>
          <w:tab w:val="left" w:pos="1095"/>
        </w:tabs>
        <w:ind w:right="105" w:firstLine="460" w:firstLineChars="19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19.2递交投标文件时，投标文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件外封套上标注的投标人名称和项目名称应当与报名投标人名称和本次招标项目的名称一致。若仅是</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外封套标注不符合上述情况</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，投标人可以在开标时当面予以澄清，以有效的澄清材料作为认定</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是否有效的依据。</w:t>
      </w:r>
    </w:p>
    <w:p>
      <w:pPr>
        <w:pStyle w:val="7"/>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19.3 投标人授权代表参加投标时，须由本项目授权代表递交投标文件，否则其投标文件将被拒收。</w:t>
      </w:r>
    </w:p>
    <w:p>
      <w:pPr>
        <w:pStyle w:val="102"/>
        <w:tabs>
          <w:tab w:val="left" w:pos="1119"/>
        </w:tabs>
        <w:spacing w:line="360" w:lineRule="auto"/>
        <w:ind w:right="170" w:firstLine="480" w:firstLineChars="200"/>
        <w:jc w:val="left"/>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授权代表递交投标文件时，应出示身份证原件、投标单位法定代表人授权委托书和投标单位为授权代表缴纳社保的承诺函或社保缴纳证明材料。（授权代表的授权委托书、缴纳社保承诺函或社保缴纳证明材料应当制作一式两份，一份由授权代表随身携带，在递交投标文件时出示，另外一份装订在投标文件中）。</w:t>
      </w:r>
    </w:p>
    <w:p>
      <w:pPr>
        <w:pStyle w:val="7"/>
        <w:ind w:right="105" w:firstLine="482"/>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2</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0</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.投标文件的撤回和修改</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20.1 投标人在递交投标文件后可对其投标文件进行撤回，撤回的书面通知须在递交截止时间之前送达招标人。且该通知需经正式授权的投标人代表签字方为有效。</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20.2投标人在递交投标文件后可对其投标文件进行补充、修改，补充、修改的书面通知以及补充、修改内容须同时在递交截止时间之前送达招标人，且补充、修改通知需经正式授权的投标人代表签字方为有效。补充、修改的内容制作需符合招标文件要求，补充、修改的内容与投标文件不一致的，以补充、修改的内容为准，补充修改的内容作为投标文件的组成部分。</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投标人对投标文件补充修改内容应该按本章第20条规定进行编写、密封、标注和递送，并注明“补充修改”字样。</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20.3 在投标截止时间之后，不接受投标人主动对其投标文件进行任何修改。</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20.4 投标人不得在递交截止时间起至投标文件有效期期满前撤销其投标文件。</w:t>
      </w:r>
    </w:p>
    <w:p>
      <w:pPr>
        <w:ind w:right="105" w:firstLine="470" w:firstLineChars="196"/>
        <w:rPr>
          <w:rFonts w:asciiTheme="majorEastAsia" w:hAnsiTheme="majorEastAsia" w:eastAsiaTheme="majorEastAsia" w:cstheme="majorEastAsia"/>
          <w:b/>
          <w:bCs/>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21</w:t>
      </w:r>
      <w:r>
        <w:rPr>
          <w:rFonts w:hint="eastAsia" w:asciiTheme="majorEastAsia" w:hAnsiTheme="majorEastAsia" w:eastAsiaTheme="majorEastAsia" w:cstheme="majorEastAsia"/>
          <w:b/>
          <w:bCs/>
          <w:color w:val="000000" w:themeColor="text1"/>
          <w:sz w:val="24"/>
          <w:szCs w:val="24"/>
          <w:highlight w:val="none"/>
          <w:lang w:val="zh-TW"/>
          <w14:textFill>
            <w14:solidFill>
              <w14:schemeClr w14:val="tx1"/>
            </w14:solidFill>
          </w14:textFill>
        </w:rPr>
        <w:t>．</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b/>
          <w:bCs/>
          <w:color w:val="000000" w:themeColor="text1"/>
          <w:sz w:val="24"/>
          <w:szCs w:val="24"/>
          <w:highlight w:val="none"/>
          <w:lang w:val="zh-TW"/>
          <w14:textFill>
            <w14:solidFill>
              <w14:schemeClr w14:val="tx1"/>
            </w14:solidFill>
          </w14:textFill>
        </w:rPr>
        <w:t>保证金</w:t>
      </w:r>
    </w:p>
    <w:p>
      <w:pPr>
        <w:ind w:firstLine="470" w:firstLineChars="196"/>
        <w:rPr>
          <w:rFonts w:asciiTheme="majorEastAsia" w:hAnsiTheme="majorEastAsia" w:eastAsiaTheme="majorEastAsia" w:cstheme="majorEastAsia"/>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21</w:t>
      </w:r>
      <w:r>
        <w:rPr>
          <w:rFonts w:hint="eastAsia" w:asciiTheme="majorEastAsia" w:hAnsiTheme="majorEastAsia" w:eastAsiaTheme="majorEastAsia" w:cstheme="majorEastAsia"/>
          <w:color w:val="000000" w:themeColor="text1"/>
          <w:sz w:val="24"/>
          <w:szCs w:val="24"/>
          <w:highlight w:val="none"/>
          <w:lang w:val="zh-TW"/>
          <w14:textFill>
            <w14:solidFill>
              <w14:schemeClr w14:val="tx1"/>
            </w14:solidFill>
          </w14:textFill>
        </w:rPr>
        <w:t>.1投标保证金缴纳方式、金额、缴纳时间、退还方式等详见投标人须知前附表第</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26</w:t>
      </w:r>
      <w:r>
        <w:rPr>
          <w:rFonts w:hint="eastAsia" w:asciiTheme="majorEastAsia" w:hAnsiTheme="majorEastAsia" w:eastAsiaTheme="majorEastAsia" w:cstheme="majorEastAsia"/>
          <w:color w:val="000000" w:themeColor="text1"/>
          <w:sz w:val="24"/>
          <w:szCs w:val="24"/>
          <w:highlight w:val="none"/>
          <w:lang w:val="zh-TW"/>
          <w14:textFill>
            <w14:solidFill>
              <w14:schemeClr w14:val="tx1"/>
            </w14:solidFill>
          </w14:textFill>
        </w:rPr>
        <w:t>项。</w:t>
      </w:r>
    </w:p>
    <w:p>
      <w:pPr>
        <w:ind w:firstLine="470" w:firstLineChars="196"/>
        <w:rPr>
          <w:rFonts w:asciiTheme="majorEastAsia" w:hAnsiTheme="majorEastAsia" w:eastAsiaTheme="majorEastAsia" w:cstheme="majorEastAsia"/>
          <w:color w:val="000000" w:themeColor="text1"/>
          <w:sz w:val="24"/>
          <w:szCs w:val="24"/>
          <w:highlight w:val="none"/>
          <w:lang w:val="zh-TW"/>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21</w:t>
      </w:r>
      <w:r>
        <w:rPr>
          <w:rFonts w:hint="eastAsia" w:asciiTheme="majorEastAsia" w:hAnsiTheme="majorEastAsia" w:eastAsiaTheme="majorEastAsia" w:cstheme="majorEastAsia"/>
          <w:color w:val="000000" w:themeColor="text1"/>
          <w:sz w:val="24"/>
          <w:szCs w:val="24"/>
          <w:highlight w:val="none"/>
          <w:lang w:val="zh-TW"/>
          <w14:textFill>
            <w14:solidFill>
              <w14:schemeClr w14:val="tx1"/>
            </w14:solidFill>
          </w14:textFill>
        </w:rPr>
        <w:t>.2 未按招标文件要求在规定时间前交纳规定数额投标保证金的投标文件将被认定为无效投标。</w:t>
      </w:r>
    </w:p>
    <w:p>
      <w:pPr>
        <w:ind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21</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.3下列任何情况发生时，招标</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人</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有权不予退还其交纳的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保证金：</w:t>
      </w:r>
    </w:p>
    <w:p>
      <w:pPr>
        <w:numPr>
          <w:ilvl w:val="0"/>
          <w:numId w:val="3"/>
        </w:numPr>
        <w:ind w:firstLine="470" w:firstLineChars="196"/>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投标人在招标文件规定的</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有效期内撤回投标的；</w:t>
      </w:r>
    </w:p>
    <w:p>
      <w:pPr>
        <w:numPr>
          <w:ilvl w:val="0"/>
          <w:numId w:val="3"/>
        </w:numPr>
        <w:spacing w:line="400" w:lineRule="exact"/>
        <w:ind w:firstLine="470" w:firstLineChars="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在招标人确定中标投标人以前放弃中标候选资格的；</w:t>
      </w:r>
    </w:p>
    <w:p>
      <w:pPr>
        <w:numPr>
          <w:ilvl w:val="0"/>
          <w:numId w:val="3"/>
        </w:numPr>
        <w:spacing w:line="400" w:lineRule="exact"/>
        <w:ind w:firstLine="470" w:firstLineChars="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中标后放弃中标、不领取或者不接收中标通知书的；</w:t>
      </w:r>
    </w:p>
    <w:p>
      <w:pPr>
        <w:numPr>
          <w:ilvl w:val="0"/>
          <w:numId w:val="3"/>
        </w:numPr>
        <w:ind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由于中标投标人的原因未能按照招标文件的规定缴纳履约保证金的；</w:t>
      </w:r>
    </w:p>
    <w:p>
      <w:pPr>
        <w:numPr>
          <w:ilvl w:val="0"/>
          <w:numId w:val="3"/>
        </w:numPr>
        <w:ind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由于中标投标人的原因未能按照招标文件的规定与招标人签订合同的；</w:t>
      </w:r>
    </w:p>
    <w:p>
      <w:pPr>
        <w:numPr>
          <w:ilvl w:val="0"/>
          <w:numId w:val="3"/>
        </w:numPr>
        <w:ind w:firstLine="470" w:firstLineChars="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投标人提供虚假资料的；</w:t>
      </w:r>
    </w:p>
    <w:p>
      <w:pPr>
        <w:ind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有效期内，投标人在采购活动中有违规、违纪和违法的行为的。</w:t>
      </w:r>
    </w:p>
    <w:p>
      <w:pPr>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8"/>
        <w:ind w:right="105" w:firstLine="420"/>
        <w:rPr>
          <w:color w:val="000000" w:themeColor="text1"/>
          <w:highlight w:val="none"/>
          <w14:textFill>
            <w14:solidFill>
              <w14:schemeClr w14:val="tx1"/>
            </w14:solidFill>
          </w14:textFill>
        </w:rPr>
      </w:pP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四、</w:t>
      </w:r>
      <w:r>
        <w:rPr>
          <w:rFonts w:hint="eastAsia" w:asciiTheme="majorEastAsia" w:hAnsiTheme="majorEastAsia" w:eastAsiaTheme="majorEastAsia" w:cstheme="majorEastAsia"/>
          <w:b/>
          <w:bCs/>
          <w:color w:val="000000" w:themeColor="text1"/>
          <w:sz w:val="28"/>
          <w:szCs w:val="28"/>
          <w:highlight w:val="none"/>
          <w:lang w:val="zh-CN"/>
          <w14:textFill>
            <w14:solidFill>
              <w14:schemeClr w14:val="tx1"/>
            </w14:solidFill>
          </w14:textFill>
        </w:rPr>
        <w:t>开标、评标和中标</w:t>
      </w:r>
    </w:p>
    <w:p>
      <w:pPr>
        <w:ind w:right="105" w:firstLine="482"/>
        <w:rPr>
          <w:rFonts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22.</w:t>
      </w:r>
      <w:r>
        <w:rPr>
          <w:rFonts w:hint="eastAsia" w:asciiTheme="majorEastAsia" w:hAnsiTheme="majorEastAsia" w:eastAsiaTheme="majorEastAsia" w:cstheme="majorEastAsia"/>
          <w:b/>
          <w:bCs/>
          <w:color w:val="000000" w:themeColor="text1"/>
          <w:sz w:val="24"/>
          <w:szCs w:val="24"/>
          <w:highlight w:val="none"/>
          <w:lang w:val="zh-CN"/>
          <w14:textFill>
            <w14:solidFill>
              <w14:schemeClr w14:val="tx1"/>
            </w14:solidFill>
          </w14:textFill>
        </w:rPr>
        <w:t>开标</w:t>
      </w:r>
    </w:p>
    <w:p>
      <w:pPr>
        <w:pStyle w:val="7"/>
        <w:ind w:right="105" w:firstLine="480"/>
        <w:rPr>
          <w:color w:val="000000" w:themeColor="text1"/>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投标</w:t>
      </w:r>
      <w:r>
        <w:rPr>
          <w:rFonts w:ascii="宋体" w:hAnsi="宋体" w:eastAsia="宋体" w:cs="宋体"/>
          <w:color w:val="000000" w:themeColor="text1"/>
          <w:sz w:val="24"/>
          <w:szCs w:val="24"/>
          <w:highlight w:val="none"/>
          <w14:textFill>
            <w14:solidFill>
              <w14:schemeClr w14:val="tx1"/>
            </w14:solidFill>
          </w14:textFill>
        </w:rPr>
        <w:t>截止日期</w:t>
      </w:r>
      <w:r>
        <w:rPr>
          <w:rFonts w:hint="eastAsia" w:ascii="宋体" w:hAnsi="宋体" w:eastAsia="宋体" w:cs="宋体"/>
          <w:color w:val="000000" w:themeColor="text1"/>
          <w:sz w:val="24"/>
          <w:szCs w:val="24"/>
          <w:highlight w:val="none"/>
          <w14:textFill>
            <w14:solidFill>
              <w14:schemeClr w14:val="tx1"/>
            </w14:solidFill>
          </w14:textFill>
        </w:rPr>
        <w:t>结束后</w:t>
      </w:r>
      <w:r>
        <w:rPr>
          <w:rFonts w:ascii="宋体" w:hAnsi="宋体" w:eastAsia="宋体" w:cs="宋体"/>
          <w:color w:val="000000" w:themeColor="text1"/>
          <w:sz w:val="24"/>
          <w:szCs w:val="24"/>
          <w:highlight w:val="none"/>
          <w14:textFill>
            <w14:solidFill>
              <w14:schemeClr w14:val="tx1"/>
            </w14:solidFill>
          </w14:textFill>
        </w:rPr>
        <w:t>，招标方将对报价文件的密封性及资料的完整性进行核查，并依据此进行初步审查。对于未满足要求的报价，将予以废标处理。招标方将组织内部团队对有效报价执行封闭式议价，并</w:t>
      </w:r>
      <w:r>
        <w:rPr>
          <w:rFonts w:hint="eastAsia" w:ascii="宋体" w:hAnsi="宋体" w:eastAsia="宋体" w:cs="宋体"/>
          <w:color w:val="000000" w:themeColor="text1"/>
          <w:sz w:val="24"/>
          <w:szCs w:val="24"/>
          <w:highlight w:val="none"/>
          <w14:textFill>
            <w14:solidFill>
              <w14:schemeClr w14:val="tx1"/>
            </w14:solidFill>
          </w14:textFill>
        </w:rPr>
        <w:t>根据情况，通知</w:t>
      </w:r>
      <w:r>
        <w:rPr>
          <w:rFonts w:ascii="宋体" w:hAnsi="宋体" w:eastAsia="宋体" w:cs="宋体"/>
          <w:color w:val="000000" w:themeColor="text1"/>
          <w:sz w:val="24"/>
          <w:szCs w:val="24"/>
          <w:highlight w:val="none"/>
          <w14:textFill>
            <w14:solidFill>
              <w14:schemeClr w14:val="tx1"/>
            </w14:solidFill>
          </w14:textFill>
        </w:rPr>
        <w:t>投标人在</w:t>
      </w:r>
      <w:r>
        <w:rPr>
          <w:rFonts w:hint="eastAsia" w:ascii="宋体" w:hAnsi="宋体" w:eastAsia="宋体" w:cs="宋体"/>
          <w:color w:val="000000" w:themeColor="text1"/>
          <w:sz w:val="24"/>
          <w:szCs w:val="24"/>
          <w:highlight w:val="none"/>
          <w14:textFill>
            <w14:solidFill>
              <w14:schemeClr w14:val="tx1"/>
            </w14:solidFill>
          </w14:textFill>
        </w:rPr>
        <w:t>开标</w:t>
      </w:r>
      <w:r>
        <w:rPr>
          <w:rFonts w:ascii="宋体" w:hAnsi="宋体" w:eastAsia="宋体" w:cs="宋体"/>
          <w:color w:val="000000" w:themeColor="text1"/>
          <w:sz w:val="24"/>
          <w:szCs w:val="24"/>
          <w:highlight w:val="none"/>
          <w14:textFill>
            <w14:solidFill>
              <w14:schemeClr w14:val="tx1"/>
            </w14:solidFill>
          </w14:textFill>
        </w:rPr>
        <w:t>现场进行答辩。</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23.评标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评标由招标人依法组建的评标小组负责，评标小组按照招标文件规定的评标办法开展评标工作。</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24．开评标过程存档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开标和评标过程需进行全过程视频监控，并拍摄带有水印的照片，相关资料存储介质需妥善留存归档。</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25.评标结果通知</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招标方将在综合评定投标报价单位后，于议价结束后的3个工作日内，向投标报价单位发出通知。招标方对未被选定的投标报价单位，不另发通知，报价资料不予退回，作为备选合作资料留存。</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26.中标通知书</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26.1 中标通知书以项目</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标段（</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含项目各品名）</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为单位为签订采购合同的依据之一，是合同的有效组成部分。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26.2 中标通知书对招标人和中标人均具有法律效力。根据《招标投标法》第四十五条的规定，中标通知书对招标人和中标人均具有法律效力。一旦中标通知书发出，招标人不得随意改变中标结果，中标人也不得无正当理由放弃中标项目。若违反此规定，招标人或中标人均应依法承担相应的法律责任。</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26.3中标人的投标文件本应作为无效投标处理或者有采购法律法规规章制度规定的中标无效情形的，招标人认定以后，将宣布发出的中标通知书无效，并收回发出的中标通知书（中标人也应当缴回），依法重新确定中标人或者重新开展采购活动。</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26.4接到通知3日内，中标人应自行领取中标通知书，凭有效身份证明证件及介绍信到招标人处领取书面中标通知书。</w:t>
      </w:r>
    </w:p>
    <w:p>
      <w:pPr>
        <w:pStyle w:val="10"/>
        <w:spacing w:after="0" w:line="360" w:lineRule="auto"/>
        <w:ind w:right="105" w:firstLine="480" w:firstLineChars="200"/>
        <w:rPr>
          <w:rFonts w:asciiTheme="majorEastAsia" w:hAnsiTheme="majorEastAsia" w:eastAsiaTheme="majorEastAsia" w:cstheme="majorEastAsia"/>
          <w:color w:val="000000" w:themeColor="text1"/>
          <w:sz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4"/>
          <w:highlight w:val="none"/>
          <w14:textFill>
            <w14:solidFill>
              <w14:schemeClr w14:val="tx1"/>
            </w14:solidFill>
          </w14:textFill>
        </w:rPr>
        <w:t>26.5 若投标报价单位被选定为中标方，但无法履行其报价承诺中的服务与价格，或未能在规定时间内签署正式合同，或坚持提出额外条件，招标方有权选择其他中标单位</w:t>
      </w:r>
      <w:r>
        <w:rPr>
          <w:rFonts w:hint="eastAsia" w:asciiTheme="majorEastAsia" w:hAnsiTheme="majorEastAsia" w:eastAsiaTheme="majorEastAsia" w:cstheme="majorEastAsia"/>
          <w:color w:val="000000" w:themeColor="text1"/>
          <w:kern w:val="0"/>
          <w:sz w:val="24"/>
          <w:szCs w:val="24"/>
          <w:highlight w:val="none"/>
          <w:lang w:val="en-US" w:eastAsia="zh-CN" w:bidi="ar-SA"/>
          <w14:textFill>
            <w14:solidFill>
              <w14:schemeClr w14:val="tx1"/>
            </w14:solidFill>
          </w14:textFill>
        </w:rPr>
        <w:t>，投标保证金不予退还，并有权追究责任，要求投标方赔偿因此给招标方造成的经济损失，赔偿金额为招标方项目品名总报价最高限价的5%。</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五、签订及履行合同和验收</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27. 签订合同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27.1 中标人与招标人</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下属各单位</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四川东辰捷兴物业服务有限公司</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四川东辰逸鑫物业服务有限公司</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四川东辰仙海物业服务有限公司、四川辰悦联家物业服务有限公司</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应在中标通知书发出之日起十五日内</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，分别</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签订</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保安服务</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采购合同</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（合同内容见附件）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。由于中标人的原因逾期未与招标人签订采购合同的，将视为放弃中标，取消其中标资格并将按相关规定进行处理。若因招标人原因未与中标人签订合同，招标人应向中标人承担中标人因投标产生的直接损失。</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27.2 招标人不得向中标人提出任何不合理的要求，作为签订合同的条件，不得与中标人私下订立背离合同实质性内容的任何协议，所签订的合同不得对招标文件和中标人</w:t>
      </w:r>
      <w:r>
        <w:rPr>
          <w:rFonts w:hint="eastAsia" w:asciiTheme="majorEastAsia" w:hAnsiTheme="majorEastAsia" w:eastAsiaTheme="majorEastAsia" w:cstheme="majorEastAsia"/>
          <w:color w:val="000000" w:themeColor="text1"/>
          <w:sz w:val="24"/>
          <w:szCs w:val="24"/>
          <w:highlight w:val="none"/>
          <w:lang w:val="zh-CN"/>
          <w14:textFill>
            <w14:solidFill>
              <w14:schemeClr w14:val="tx1"/>
            </w14:solidFill>
          </w14:textFill>
        </w:rPr>
        <w:t>投标文件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作实质性修改。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27.3 </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招标文件、中标人提交的投标文件、投标报价、中标人承诺书、中标通知书、</w:t>
      </w: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双方确认的澄清文件</w:t>
      </w: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等均成为有法律约束力的合同组成内容</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28. 本项目不允许合同分包转包</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29. 补充合同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采购合同履行过程中，需要追加与合同标的相同货物的，在不改变合同其他条款的前提下，可以与中标人协商签订补充合同，该补充合同应当在原采购合同履行过程中，不得在原采购合同履行结束后，且采购货物的名称、价格、履约方式、验收标准等必须与原采购合同一致。</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30、合同签订</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 中标人按《中标通知书》规定的时间、地点签订合同。</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31. 履行合同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31.1 中标人与招标人签订合同后，本招标文件附带的合同文本仅供参考，双方的权利与义务应以正式签署的合同文本为准。合同双方需严格遵循合同条款，切实履行各自义务，确保合同顺利执行。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31.2 在合同履行过程中，如发生合同纠纷，合同双方应按照相关法律法规的有关规定进行处理。</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32. 验收</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32.1按照招标文件相关要求、合同相关约定、月度考核办法及招标人相应管理制度开展验收工作。</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32.2 验收结果不合格的，将依据合同和招标人相关管理制度进行处理。</w:t>
      </w:r>
    </w:p>
    <w:p>
      <w:pPr>
        <w:pStyle w:val="9"/>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32.3合同款项支付：</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以招标文件第三章商务要求中的付款方式为准。</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六、</w:t>
      </w:r>
      <w:r>
        <w:rPr>
          <w:rFonts w:hint="eastAsia" w:asciiTheme="majorEastAsia" w:hAnsiTheme="majorEastAsia" w:eastAsiaTheme="majorEastAsia" w:cstheme="majorEastAsia"/>
          <w:b/>
          <w:bCs/>
          <w:color w:val="000000" w:themeColor="text1"/>
          <w:sz w:val="28"/>
          <w:szCs w:val="28"/>
          <w:highlight w:val="none"/>
          <w:lang w:val="zh-CN"/>
          <w14:textFill>
            <w14:solidFill>
              <w14:schemeClr w14:val="tx1"/>
            </w14:solidFill>
          </w14:textFill>
        </w:rPr>
        <w:t>投标</w:t>
      </w: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纪律要求</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34. 投标人不得具有的情形</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投标人参与投标时，禁止出现以下情形：</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（1）提供虚假材料谋取中标；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（2）采取不正当手段诋毁、排挤其他投标人；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（3）与采购单位、其他投标人恶意串通；</w:t>
      </w:r>
    </w:p>
    <w:p>
      <w:pPr>
        <w:ind w:right="105" w:firstLine="480"/>
        <w:rPr>
          <w:rFonts w:asciiTheme="majorEastAsia" w:hAnsiTheme="majorEastAsia" w:eastAsiaTheme="majorEastAsia" w:cstheme="majorEastAsia"/>
          <w:color w:val="000000" w:themeColor="text1"/>
          <w:kern w:val="2"/>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（4）向采购单位、评标小组</w:t>
      </w:r>
      <w:r>
        <w:rPr>
          <w:rFonts w:hint="eastAsia" w:asciiTheme="majorEastAsia" w:hAnsiTheme="majorEastAsia" w:eastAsiaTheme="majorEastAsia" w:cstheme="majorEastAsia"/>
          <w:color w:val="000000" w:themeColor="text1"/>
          <w:kern w:val="2"/>
          <w:sz w:val="24"/>
          <w:szCs w:val="24"/>
          <w:highlight w:val="none"/>
          <w14:textFill>
            <w14:solidFill>
              <w14:schemeClr w14:val="tx1"/>
            </w14:solidFill>
          </w14:textFill>
        </w:rPr>
        <w:t>成员行贿或者提供其他不正当利益；</w:t>
      </w:r>
    </w:p>
    <w:p>
      <w:pPr>
        <w:ind w:right="105" w:firstLine="480"/>
        <w:rPr>
          <w:rFonts w:asciiTheme="majorEastAsia" w:hAnsiTheme="majorEastAsia" w:eastAsiaTheme="majorEastAsia" w:cstheme="majorEastAsia"/>
          <w:color w:val="000000" w:themeColor="text1"/>
          <w:kern w:val="2"/>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2"/>
          <w:sz w:val="24"/>
          <w:szCs w:val="24"/>
          <w:highlight w:val="none"/>
          <w14:textFill>
            <w14:solidFill>
              <w14:schemeClr w14:val="tx1"/>
            </w14:solidFill>
          </w14:textFill>
        </w:rPr>
        <w:t>（5）在招标过程中与招标采购单位进行协商谈判；</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（6）中标或者中标后无正当理由拒不与招标人签订采购合同；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（7）未按照招标文件确定的事项签订采购合同；</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（8）将采购合同转包或者违规分包；</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（9）擅自变更、中止或者终止采购合同；</w:t>
      </w:r>
    </w:p>
    <w:p>
      <w:pPr>
        <w:ind w:right="105" w:firstLine="480"/>
        <w:rPr>
          <w:rFonts w:asciiTheme="majorEastAsia" w:hAnsiTheme="majorEastAsia" w:eastAsiaTheme="majorEastAsia" w:cstheme="majorEastAsia"/>
          <w:color w:val="000000" w:themeColor="text1"/>
          <w:kern w:val="2"/>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2"/>
          <w:sz w:val="24"/>
          <w:szCs w:val="24"/>
          <w:highlight w:val="none"/>
          <w14:textFill>
            <w14:solidFill>
              <w14:schemeClr w14:val="tx1"/>
            </w14:solidFill>
          </w14:textFill>
        </w:rPr>
        <w:t>（10）拒绝有关部门的监督检查或者向监督检查部门提供虚假情况；</w:t>
      </w:r>
    </w:p>
    <w:p>
      <w:pPr>
        <w:autoSpaceDE w:val="0"/>
        <w:autoSpaceDN w:val="0"/>
        <w:adjustRightInd w:val="0"/>
        <w:ind w:right="105" w:firstLine="480"/>
        <w:jc w:val="left"/>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2"/>
          <w:sz w:val="24"/>
          <w:szCs w:val="24"/>
          <w:highlight w:val="none"/>
          <w14:textFill>
            <w14:solidFill>
              <w14:schemeClr w14:val="tx1"/>
            </w14:solidFill>
          </w14:textFill>
        </w:rPr>
        <w:t>（11）</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 xml:space="preserve">与其他投标人在同一合同项下的采购项目中，同时委托同一个自然人、同一家庭的人员、同一单位的人员作为授权代表的行为。 </w:t>
      </w:r>
    </w:p>
    <w:p>
      <w:pPr>
        <w:autoSpaceDE w:val="0"/>
        <w:autoSpaceDN w:val="0"/>
        <w:adjustRightInd w:val="0"/>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（12）法律法规规定的其他情形。</w:t>
      </w:r>
    </w:p>
    <w:p>
      <w:pPr>
        <w:ind w:right="105" w:firstLine="480"/>
        <w:rPr>
          <w:rFonts w:asciiTheme="majorEastAsia" w:hAnsiTheme="majorEastAsia" w:eastAsiaTheme="majorEastAsia" w:cstheme="majorEastAsia"/>
          <w:color w:val="000000" w:themeColor="text1"/>
          <w:kern w:val="2"/>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kern w:val="2"/>
          <w:sz w:val="24"/>
          <w:szCs w:val="24"/>
          <w:highlight w:val="none"/>
          <w14:textFill>
            <w14:solidFill>
              <w14:schemeClr w14:val="tx1"/>
            </w14:solidFill>
          </w14:textFill>
        </w:rPr>
        <w:t>投标人有上述情形的，按照规定追究法律责任，具备（1）－（13）条情形之一的，其投标或中标资格将被取消。</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七、质疑</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35. 关于质疑的相关要求详见投标人须知前附表第25项。</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八、招标文件的解释说明</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36. 招标文件内容冲突的解决及优先适用次序</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36.1 若招标文件编制的内容存在前后矛盾或不一致，且有时间先后顺序的，则以最后发出的修改、澄清或补正文件为准；若无时间先后顺序，则依据有利于全体投标人的原则进行处理。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36.2 对招标文件的解释，由招标人负责。</w:t>
      </w:r>
    </w:p>
    <w:p>
      <w:pPr>
        <w:ind w:right="105" w:firstLine="562"/>
        <w:jc w:val="center"/>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九、其他</w:t>
      </w:r>
    </w:p>
    <w:p>
      <w:pPr>
        <w:pStyle w:val="7"/>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37. 时间计算</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本招标文件规定按日计算期间的，开始当天不计入，从次日开始计算。期限的最后一日是国家法定节假日的，顺延到节假日后的次日为期限的最后一日。</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招标文件中出现的“天”“日”，均为“日历天”，表述为“工作日”的除外。</w:t>
      </w:r>
    </w:p>
    <w:p>
      <w:pPr>
        <w:pStyle w:val="7"/>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38．本数计算</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本招标文件所称的“以上”、 “以内”包括本数，“以下”“不足”不包括本数。</w:t>
      </w:r>
    </w:p>
    <w:p>
      <w:pPr>
        <w:pStyle w:val="7"/>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39．其他</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本招标文件中所引用的相关法律制度规定，在采购中有变化的，按照变化后的相关法律制度规定执行。本招标文件规定的内容和条款，在本项目投标截止时间届满后，因相关法律制度规定的变化导致不符合相关法律制度规定的，直接按照变化后的相关法律制度规定执行，本招标文件不再作调整。</w:t>
      </w:r>
    </w:p>
    <w:p>
      <w:pPr>
        <w:pStyle w:val="7"/>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7" w:h="16840"/>
          <w:pgMar w:top="1440" w:right="1463" w:bottom="1327" w:left="1576" w:header="851" w:footer="992" w:gutter="0"/>
          <w:cols w:space="720" w:num="1"/>
          <w:docGrid w:type="linesAndChars" w:linePitch="312" w:charSpace="0"/>
        </w:sectPr>
      </w:pPr>
    </w:p>
    <w:p>
      <w:pPr>
        <w:pStyle w:val="9"/>
        <w:ind w:right="105" w:firstLine="1920" w:firstLineChars="600"/>
        <w:outlineLvl w:val="0"/>
        <w:rPr>
          <w:rFonts w:asciiTheme="majorEastAsia" w:hAnsiTheme="majorEastAsia" w:eastAsiaTheme="majorEastAsia" w:cstheme="majorEastAsia"/>
          <w:b/>
          <w:color w:val="000000" w:themeColor="text1"/>
          <w:sz w:val="32"/>
          <w:szCs w:val="32"/>
          <w:highlight w:val="none"/>
          <w14:textFill>
            <w14:solidFill>
              <w14:schemeClr w14:val="tx1"/>
            </w14:solidFill>
          </w14:textFill>
        </w:rPr>
      </w:pPr>
      <w:bookmarkStart w:id="8" w:name="_Toc24115"/>
      <w:r>
        <w:rPr>
          <w:rFonts w:hint="eastAsia" w:asciiTheme="majorEastAsia" w:hAnsiTheme="majorEastAsia" w:eastAsiaTheme="majorEastAsia" w:cstheme="majorEastAsia"/>
          <w:b/>
          <w:color w:val="000000" w:themeColor="text1"/>
          <w:sz w:val="32"/>
          <w:szCs w:val="32"/>
          <w:highlight w:val="none"/>
          <w14:textFill>
            <w14:solidFill>
              <w14:schemeClr w14:val="tx1"/>
            </w14:solidFill>
          </w14:textFill>
        </w:rPr>
        <w:t>第三章  主要采购内容及技术、商务要求</w:t>
      </w:r>
      <w:bookmarkEnd w:id="8"/>
    </w:p>
    <w:p>
      <w:pPr>
        <w:widowControl/>
        <w:ind w:right="105" w:firstLine="482"/>
        <w:rPr>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一、项目主要采购内容：</w:t>
      </w:r>
    </w:p>
    <w:p>
      <w:pPr>
        <w:pStyle w:val="114"/>
        <w:ind w:firstLine="480"/>
        <w:jc w:val="both"/>
        <w:outlineLvl w:val="9"/>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lang w:val="zh-Hans" w:eastAsia="zh-Hans"/>
          <w14:textFill>
            <w14:solidFill>
              <w14:schemeClr w14:val="tx1"/>
            </w14:solidFill>
          </w14:textFill>
        </w:rPr>
        <w:t>本项目为</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2025—2027年东辰集团</w:t>
      </w:r>
      <w:r>
        <w:rPr>
          <w:rFonts w:hint="eastAsia" w:ascii="宋体" w:hAnsi="宋体" w:eastAsia="宋体" w:cs="宋体"/>
          <w:bCs/>
          <w:color w:val="000000" w:themeColor="text1"/>
          <w:kern w:val="0"/>
          <w:sz w:val="24"/>
          <w:szCs w:val="24"/>
          <w:highlight w:val="none"/>
          <w:lang w:val="en-US" w:eastAsia="zh-CN"/>
          <w14:textFill>
            <w14:solidFill>
              <w14:schemeClr w14:val="tx1"/>
            </w14:solidFill>
          </w14:textFill>
        </w:rPr>
        <w:t>住宅物业</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板块保安服务采购</w:t>
      </w:r>
      <w:r>
        <w:rPr>
          <w:rStyle w:val="113"/>
          <w:rFonts w:hint="eastAsia" w:asciiTheme="minorEastAsia" w:hAnsiTheme="minorEastAsia" w:eastAsiaTheme="minorEastAsia" w:cstheme="minorEastAsia"/>
          <w:color w:val="000000" w:themeColor="text1"/>
          <w:sz w:val="24"/>
          <w:szCs w:val="24"/>
          <w:highlight w:val="none"/>
          <w:lang w:val="zh-Hans" w:eastAsia="zh-Hans"/>
          <w14:textFill>
            <w14:solidFill>
              <w14:schemeClr w14:val="tx1"/>
            </w14:solidFill>
          </w14:textFill>
        </w:rPr>
        <w:t>。本项目经</w:t>
      </w:r>
      <w:r>
        <w:rPr>
          <w:rStyle w:val="113"/>
          <w:rFonts w:hint="eastAsia" w:asciiTheme="minorEastAsia" w:hAnsiTheme="minorEastAsia" w:eastAsiaTheme="minorEastAsia" w:cstheme="minorEastAsia"/>
          <w:color w:val="000000" w:themeColor="text1"/>
          <w:sz w:val="24"/>
          <w:szCs w:val="24"/>
          <w:highlight w:val="none"/>
          <w:lang w:val="zh-Hans" w:eastAsia="zh-CN"/>
          <w14:textFill>
            <w14:solidFill>
              <w14:schemeClr w14:val="tx1"/>
            </w14:solidFill>
          </w14:textFill>
        </w:rPr>
        <w:t>四川东辰（集团）股份有限公司</w:t>
      </w:r>
      <w:r>
        <w:rPr>
          <w:rStyle w:val="113"/>
          <w:rFonts w:hint="eastAsia" w:asciiTheme="minorEastAsia" w:hAnsiTheme="minorEastAsia" w:eastAsiaTheme="minorEastAsia" w:cstheme="minorEastAsia"/>
          <w:color w:val="000000" w:themeColor="text1"/>
          <w:sz w:val="24"/>
          <w:szCs w:val="24"/>
          <w:highlight w:val="none"/>
          <w:lang w:val="zh-Hans" w:eastAsia="zh-Hans"/>
          <w14:textFill>
            <w14:solidFill>
              <w14:schemeClr w14:val="tx1"/>
            </w14:solidFill>
          </w14:textFill>
        </w:rPr>
        <w:t>组织统一招标后，</w:t>
      </w:r>
      <w:r>
        <w:rPr>
          <w:rStyle w:val="113"/>
          <w:rFonts w:hint="eastAsia" w:asciiTheme="minorEastAsia" w:hAnsiTheme="minorEastAsia" w:eastAsiaTheme="minorEastAsia" w:cstheme="minorEastAsia"/>
          <w:color w:val="000000" w:themeColor="text1"/>
          <w:sz w:val="24"/>
          <w:szCs w:val="24"/>
          <w:highlight w:val="none"/>
          <w:lang w:val="zh-Hans" w:eastAsia="zh-CN"/>
          <w14:textFill>
            <w14:solidFill>
              <w14:schemeClr w14:val="tx1"/>
            </w14:solidFill>
          </w14:textFill>
        </w:rPr>
        <w:t>由中标人分别与招标人</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下属各品名单位</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四川</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东辰</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捷兴物业服务有限公司、四川东辰逸鑫物业服务有限公司、四川东辰仙海物业服务有限公司、四川辰悦联家物业服务有限公司</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应在中标通知书发出之日起十五日内签订</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保安服务</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采购合同</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（合同内容见附件）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tbl>
      <w:tblPr>
        <w:tblStyle w:val="31"/>
        <w:tblW w:w="92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4"/>
        <w:gridCol w:w="3033"/>
        <w:gridCol w:w="835"/>
        <w:gridCol w:w="1029"/>
        <w:gridCol w:w="28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5" w:hRule="atLeast"/>
        </w:trPr>
        <w:tc>
          <w:tcPr>
            <w:tcW w:w="1494" w:type="dxa"/>
            <w:noWrap/>
            <w:vAlign w:val="center"/>
          </w:tcPr>
          <w:p>
            <w:pPr>
              <w:pStyle w:val="102"/>
              <w:jc w:val="center"/>
              <w:rPr>
                <w:rStyle w:val="113"/>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项目名称</w:t>
            </w:r>
          </w:p>
        </w:tc>
        <w:tc>
          <w:tcPr>
            <w:tcW w:w="3033" w:type="dxa"/>
            <w:noWrap/>
            <w:vAlign w:val="center"/>
          </w:tcPr>
          <w:p>
            <w:pPr>
              <w:widowControl/>
              <w:ind w:right="105" w:firstLine="0" w:firstLineChars="0"/>
              <w:jc w:val="center"/>
              <w:rPr>
                <w:rStyle w:val="113"/>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品名</w:t>
            </w:r>
          </w:p>
        </w:tc>
        <w:tc>
          <w:tcPr>
            <w:tcW w:w="835" w:type="dxa"/>
            <w:noWrap/>
            <w:vAlign w:val="center"/>
          </w:tcPr>
          <w:p>
            <w:pPr>
              <w:widowControl/>
              <w:ind w:right="105" w:firstLine="0" w:firstLineChars="0"/>
              <w:jc w:val="center"/>
              <w:rPr>
                <w:rStyle w:val="113"/>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pPr>
            <w:r>
              <w:rPr>
                <w:rStyle w:val="113"/>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数量</w:t>
            </w:r>
          </w:p>
        </w:tc>
        <w:tc>
          <w:tcPr>
            <w:tcW w:w="1029" w:type="dxa"/>
            <w:noWrap/>
            <w:vAlign w:val="center"/>
          </w:tcPr>
          <w:p>
            <w:pPr>
              <w:widowControl/>
              <w:ind w:left="0" w:leftChars="0" w:right="105" w:firstLine="0" w:firstLineChars="0"/>
              <w:jc w:val="center"/>
              <w:rPr>
                <w:rStyle w:val="113"/>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单位</w:t>
            </w:r>
          </w:p>
        </w:tc>
        <w:tc>
          <w:tcPr>
            <w:tcW w:w="2871" w:type="dxa"/>
            <w:noWrap/>
            <w:vAlign w:val="center"/>
          </w:tcPr>
          <w:p>
            <w:pPr>
              <w:widowControl/>
              <w:ind w:right="105" w:firstLine="0" w:firstLineChars="0"/>
              <w:jc w:val="center"/>
              <w:rPr>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采购金额</w:t>
            </w:r>
            <w:r>
              <w:rPr>
                <w:rFonts w:hint="eastAsia" w:asciiTheme="minorEastAsia" w:hAnsiTheme="minorEastAsia" w:eastAsiaTheme="minorEastAsia" w:cstheme="minorEastAsia"/>
                <w:b/>
                <w:bCs/>
                <w:color w:val="000000" w:themeColor="text1"/>
                <w:sz w:val="24"/>
                <w:szCs w:val="24"/>
                <w:highlight w:val="none"/>
                <w:lang w:eastAsia="zh-CN"/>
                <w14:textFill>
                  <w14:solidFill>
                    <w14:schemeClr w14:val="tx1"/>
                  </w14:solidFill>
                </w14:textFill>
              </w:rPr>
              <w:t>含税</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最高限价</w:t>
            </w:r>
          </w:p>
          <w:p>
            <w:pPr>
              <w:widowControl/>
              <w:ind w:right="105" w:firstLine="0" w:firstLineChars="0"/>
              <w:jc w:val="center"/>
              <w:rPr>
                <w:rStyle w:val="113"/>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(单位：元）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restart"/>
            <w:noWrap/>
          </w:tcPr>
          <w:p>
            <w:pPr>
              <w:pStyle w:val="102"/>
              <w:jc w:val="left"/>
              <w:rPr>
                <w:rStyle w:val="113"/>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2025—2027年东辰集团</w:t>
            </w:r>
            <w:r>
              <w:rPr>
                <w:rFonts w:hint="eastAsia" w:ascii="宋体" w:hAnsi="宋体" w:eastAsia="宋体" w:cs="宋体"/>
                <w:bCs/>
                <w:color w:val="000000" w:themeColor="text1"/>
                <w:kern w:val="0"/>
                <w:sz w:val="24"/>
                <w:szCs w:val="24"/>
                <w:highlight w:val="none"/>
                <w:lang w:val="en-US" w:eastAsia="zh-CN"/>
                <w14:textFill>
                  <w14:solidFill>
                    <w14:schemeClr w14:val="tx1"/>
                  </w14:solidFill>
                </w14:textFill>
              </w:rPr>
              <w:t>住宅物业</w:t>
            </w:r>
            <w:r>
              <w:rPr>
                <w:rFonts w:hint="eastAsia" w:ascii="宋体" w:hAnsi="宋体" w:eastAsia="宋体" w:cs="宋体"/>
                <w:bCs/>
                <w:color w:val="000000" w:themeColor="text1"/>
                <w:kern w:val="0"/>
                <w:sz w:val="24"/>
                <w:szCs w:val="24"/>
                <w:highlight w:val="none"/>
                <w:lang w:val="zh-TW" w:eastAsia="zh-TW"/>
                <w14:textFill>
                  <w14:solidFill>
                    <w14:schemeClr w14:val="tx1"/>
                  </w14:solidFill>
                </w14:textFill>
              </w:rPr>
              <w:t>板块保安服务采购</w:t>
            </w:r>
          </w:p>
        </w:tc>
        <w:tc>
          <w:tcPr>
            <w:tcW w:w="3033" w:type="dxa"/>
            <w:shd w:val="clear" w:color="auto" w:fill="auto"/>
            <w:noWrap/>
            <w:vAlign w:val="center"/>
          </w:tcPr>
          <w:p>
            <w:pPr>
              <w:pStyle w:val="102"/>
              <w:jc w:val="center"/>
              <w:rPr>
                <w:rFonts w:hint="default" w:ascii="宋体" w:hAnsi="宋体" w:eastAsia="宋体" w:cs="宋体"/>
                <w:color w:val="000000" w:themeColor="text1"/>
                <w:kern w:val="2"/>
                <w:sz w:val="18"/>
                <w:szCs w:val="18"/>
                <w:highlight w:val="none"/>
                <w:lang w:val="en-US" w:eastAsia="zh-CN" w:bidi="ar-SA"/>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1、四川东辰捷兴物业服务有限公司</w:t>
            </w:r>
          </w:p>
        </w:tc>
        <w:tc>
          <w:tcPr>
            <w:tcW w:w="835" w:type="dxa"/>
            <w:noWrap/>
            <w:vAlign w:val="center"/>
          </w:tcPr>
          <w:p>
            <w:pPr>
              <w:ind w:left="0" w:leftChars="0" w:right="105" w:firstLine="0" w:firstLineChars="0"/>
              <w:jc w:val="center"/>
              <w:rPr>
                <w:rStyle w:val="113"/>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1029" w:type="dxa"/>
            <w:noWrap/>
            <w:vAlign w:val="center"/>
          </w:tcPr>
          <w:p>
            <w:pPr>
              <w:pStyle w:val="102"/>
              <w:jc w:val="center"/>
              <w:rPr>
                <w:rStyle w:val="113"/>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1003200.00元</w:t>
            </w:r>
            <w:r>
              <w:rPr>
                <w:rFonts w:hint="eastAsia" w:hAnsi="宋体" w:eastAsia="宋体" w:cs="宋体"/>
                <w:color w:val="000000" w:themeColor="text1"/>
                <w:sz w:val="24"/>
                <w:szCs w:val="24"/>
                <w:highlight w:val="none"/>
                <w:lang w:val="en-US" w:eastAsia="zh-CN"/>
                <w14:textFill>
                  <w14:solidFill>
                    <w14:schemeClr w14:val="tx1"/>
                  </w14:solidFill>
                </w14:textFill>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trPr>
        <w:tc>
          <w:tcPr>
            <w:tcW w:w="1494" w:type="dxa"/>
            <w:vMerge w:val="continue"/>
            <w:noWrap/>
          </w:tcPr>
          <w:p>
            <w:pPr>
              <w:pStyle w:val="102"/>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p>
        </w:tc>
        <w:tc>
          <w:tcPr>
            <w:tcW w:w="3033" w:type="dxa"/>
            <w:shd w:val="clear" w:color="auto" w:fill="auto"/>
            <w:noWrap/>
            <w:vAlign w:val="center"/>
          </w:tcPr>
          <w:p>
            <w:pPr>
              <w:pStyle w:val="102"/>
              <w:jc w:val="center"/>
              <w:rPr>
                <w:rFonts w:hint="default" w:ascii="宋体" w:hAnsi="宋体" w:eastAsia="宋体" w:cs="宋体"/>
                <w:color w:val="000000" w:themeColor="text1"/>
                <w:kern w:val="2"/>
                <w:sz w:val="24"/>
                <w:szCs w:val="24"/>
                <w:highlight w:val="none"/>
                <w:lang w:val="en-US" w:eastAsia="zh-CN" w:bidi="ar-SA"/>
                <w14:textFill>
                  <w14:solidFill>
                    <w14:schemeClr w14:val="tx1"/>
                  </w14:solidFill>
                </w14:textFill>
              </w:rPr>
            </w:pPr>
            <w:r>
              <w:rPr>
                <w:rStyle w:val="113"/>
                <w:rFonts w:hint="eastAsia" w:ascii="宋体" w:hAnsi="宋体" w:eastAsia="宋体" w:cs="宋体"/>
                <w:color w:val="000000" w:themeColor="text1"/>
                <w:sz w:val="24"/>
                <w:szCs w:val="24"/>
                <w:highlight w:val="none"/>
                <w:lang w:val="en-US" w:eastAsia="zh-CN"/>
                <w14:textFill>
                  <w14:solidFill>
                    <w14:schemeClr w14:val="tx1"/>
                  </w14:solidFill>
                </w14:textFill>
              </w:rPr>
              <w:t>2</w:t>
            </w: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、四川东辰逸鑫物业服务有限公司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1029" w:type="dxa"/>
            <w:noWrap/>
            <w:vAlign w:val="center"/>
          </w:tcPr>
          <w:p>
            <w:pPr>
              <w:pStyle w:val="102"/>
              <w:jc w:val="cente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1185600.00元</w:t>
            </w:r>
            <w:r>
              <w:rPr>
                <w:rFonts w:hint="eastAsia" w:hAnsi="宋体" w:eastAsia="宋体" w:cs="宋体"/>
                <w:color w:val="000000" w:themeColor="text1"/>
                <w:sz w:val="24"/>
                <w:szCs w:val="24"/>
                <w:highlight w:val="none"/>
                <w:lang w:val="en-US" w:eastAsia="zh-CN"/>
                <w14:textFill>
                  <w14:solidFill>
                    <w14:schemeClr w14:val="tx1"/>
                  </w14:solidFill>
                </w14:textFill>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494" w:type="dxa"/>
            <w:vMerge w:val="continue"/>
            <w:noWrap/>
          </w:tcPr>
          <w:p>
            <w:pPr>
              <w:pStyle w:val="102"/>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p>
        </w:tc>
        <w:tc>
          <w:tcPr>
            <w:tcW w:w="3033" w:type="dxa"/>
            <w:noWrap/>
            <w:vAlign w:val="center"/>
          </w:tcPr>
          <w:p>
            <w:pPr>
              <w:pStyle w:val="102"/>
              <w:jc w:val="center"/>
              <w:rPr>
                <w:rStyle w:val="113"/>
                <w:rFonts w:hint="default" w:ascii="宋体" w:hAnsi="宋体" w:eastAsia="宋体" w:cs="宋体"/>
                <w:color w:val="000000" w:themeColor="text1"/>
                <w:sz w:val="24"/>
                <w:szCs w:val="24"/>
                <w:highlight w:val="none"/>
                <w:lang w:val="en-US"/>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3、四川东辰仙海物业服务有限公司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1029" w:type="dxa"/>
            <w:noWrap/>
            <w:vAlign w:val="center"/>
          </w:tcPr>
          <w:p>
            <w:pPr>
              <w:pStyle w:val="102"/>
              <w:jc w:val="cente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912000.00元</w:t>
            </w:r>
            <w:r>
              <w:rPr>
                <w:rFonts w:hint="eastAsia" w:hAnsi="宋体" w:eastAsia="宋体" w:cs="宋体"/>
                <w:color w:val="000000" w:themeColor="text1"/>
                <w:sz w:val="24"/>
                <w:szCs w:val="24"/>
                <w:highlight w:val="none"/>
                <w:lang w:val="en-US" w:eastAsia="zh-CN"/>
                <w14:textFill>
                  <w14:solidFill>
                    <w14:schemeClr w14:val="tx1"/>
                  </w14:solidFill>
                </w14:textFill>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7" w:hRule="atLeast"/>
        </w:trPr>
        <w:tc>
          <w:tcPr>
            <w:tcW w:w="1494" w:type="dxa"/>
            <w:noWrap/>
          </w:tcPr>
          <w:p>
            <w:pPr>
              <w:pStyle w:val="102"/>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pPr>
          </w:p>
        </w:tc>
        <w:tc>
          <w:tcPr>
            <w:tcW w:w="3033" w:type="dxa"/>
            <w:noWrap/>
            <w:vAlign w:val="center"/>
          </w:tcPr>
          <w:p>
            <w:pPr>
              <w:pStyle w:val="102"/>
              <w:jc w:val="center"/>
              <w:rPr>
                <w:rStyle w:val="113"/>
                <w:rFonts w:hint="default" w:ascii="宋体" w:hAnsi="宋体" w:eastAsia="宋体" w:cs="宋体"/>
                <w:color w:val="000000" w:themeColor="text1"/>
                <w:sz w:val="18"/>
                <w:szCs w:val="18"/>
                <w:highlight w:val="none"/>
                <w:lang w:val="en-US" w:eastAsia="zh-CN"/>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4、四川辰悦联家物业服务有限公司</w:t>
            </w:r>
          </w:p>
        </w:tc>
        <w:tc>
          <w:tcPr>
            <w:tcW w:w="835" w:type="dxa"/>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p>
        </w:tc>
        <w:tc>
          <w:tcPr>
            <w:tcW w:w="1029" w:type="dxa"/>
            <w:noWrap/>
            <w:vAlign w:val="center"/>
          </w:tcPr>
          <w:p>
            <w:pPr>
              <w:pStyle w:val="102"/>
              <w:jc w:val="cente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年</w:t>
            </w:r>
          </w:p>
        </w:tc>
        <w:tc>
          <w:tcPr>
            <w:tcW w:w="2871" w:type="dxa"/>
            <w:noWrap/>
            <w:vAlign w:val="center"/>
          </w:tcPr>
          <w:p>
            <w:pPr>
              <w:widowControl/>
              <w:spacing w:line="240" w:lineRule="auto"/>
              <w:ind w:right="105" w:firstLine="0" w:firstLineChars="0"/>
              <w:jc w:val="center"/>
              <w:rPr>
                <w:rFonts w:hint="default"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820800.00元</w:t>
            </w:r>
            <w:r>
              <w:rPr>
                <w:rFonts w:hint="eastAsia" w:hAnsi="宋体" w:eastAsia="宋体" w:cs="宋体"/>
                <w:color w:val="000000" w:themeColor="text1"/>
                <w:sz w:val="24"/>
                <w:szCs w:val="24"/>
                <w:highlight w:val="none"/>
                <w:lang w:val="en-US" w:eastAsia="zh-CN"/>
                <w14:textFill>
                  <w14:solidFill>
                    <w14:schemeClr w14:val="tx1"/>
                  </w14:solidFill>
                </w14:textFill>
              </w:rPr>
              <w:t>/2年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3" w:hRule="atLeast"/>
        </w:trPr>
        <w:tc>
          <w:tcPr>
            <w:tcW w:w="9262" w:type="dxa"/>
            <w:gridSpan w:val="5"/>
            <w:noWrap/>
          </w:tcPr>
          <w:p>
            <w:pPr>
              <w:widowControl/>
              <w:ind w:right="105" w:firstLine="0" w:firstLineChars="0"/>
              <w:rPr>
                <w:rStyle w:val="113"/>
                <w:rFonts w:asciiTheme="minorEastAsia" w:hAnsiTheme="minorEastAsia" w:eastAsiaTheme="minorEastAsia" w:cstheme="minorEastAsia"/>
                <w:color w:val="000000" w:themeColor="text1"/>
                <w:kern w:val="2"/>
                <w:sz w:val="24"/>
                <w:szCs w:val="24"/>
                <w:highlight w:val="none"/>
                <w14:textFill>
                  <w14:solidFill>
                    <w14:schemeClr w14:val="tx1"/>
                  </w14:solidFill>
                </w14:textFill>
              </w:rPr>
            </w:pPr>
            <w:r>
              <w:rPr>
                <w:rStyle w:val="113"/>
                <w:rFonts w:hint="eastAsia" w:asciiTheme="minorEastAsia" w:hAnsiTheme="minorEastAsia" w:eastAsiaTheme="minorEastAsia" w:cstheme="minorEastAsia"/>
                <w:color w:val="000000" w:themeColor="text1"/>
                <w:kern w:val="2"/>
                <w:sz w:val="24"/>
                <w:szCs w:val="24"/>
                <w:highlight w:val="none"/>
                <w14:textFill>
                  <w14:solidFill>
                    <w14:schemeClr w14:val="tx1"/>
                  </w14:solidFill>
                </w14:textFill>
              </w:rPr>
              <w:t>计划总金额（含税最高限价）：</w:t>
            </w:r>
            <w:r>
              <w:rPr>
                <w:rStyle w:val="113"/>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3921600.</w:t>
            </w:r>
            <w:bookmarkStart w:id="22" w:name="_GoBack"/>
            <w:bookmarkEnd w:id="22"/>
            <w:r>
              <w:rPr>
                <w:rStyle w:val="113"/>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00</w:t>
            </w:r>
            <w:r>
              <w:rPr>
                <w:rStyle w:val="113"/>
                <w:rFonts w:hint="eastAsia" w:asciiTheme="minorEastAsia" w:hAnsiTheme="minorEastAsia" w:eastAsiaTheme="minorEastAsia" w:cstheme="minorEastAsia"/>
                <w:color w:val="000000" w:themeColor="text1"/>
                <w:kern w:val="2"/>
                <w:sz w:val="24"/>
                <w:szCs w:val="24"/>
                <w:highlight w:val="none"/>
                <w14:textFill>
                  <w14:solidFill>
                    <w14:schemeClr w14:val="tx1"/>
                  </w14:solidFill>
                </w14:textFill>
              </w:rPr>
              <w:t>元</w:t>
            </w:r>
            <w:r>
              <w:rPr>
                <w:rStyle w:val="113"/>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/2年</w:t>
            </w:r>
            <w:r>
              <w:rPr>
                <w:rStyle w:val="113"/>
                <w:rFonts w:hint="eastAsia" w:asciiTheme="minorEastAsia" w:hAnsiTheme="minorEastAsia" w:eastAsiaTheme="minorEastAsia" w:cstheme="minorEastAsia"/>
                <w:color w:val="000000" w:themeColor="text1"/>
                <w:kern w:val="2"/>
                <w:sz w:val="24"/>
                <w:szCs w:val="24"/>
                <w:highlight w:val="none"/>
                <w14:textFill>
                  <w14:solidFill>
                    <w14:schemeClr w14:val="tx1"/>
                  </w14:solidFill>
                </w14:textFill>
              </w:rPr>
              <w:t xml:space="preserve">  大写：</w:t>
            </w:r>
            <w:r>
              <w:rPr>
                <w:rStyle w:val="113"/>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2年</w:t>
            </w:r>
            <w:r>
              <w:rPr>
                <w:rStyle w:val="113"/>
                <w:rFonts w:hint="eastAsia" w:asciiTheme="minorEastAsia" w:hAnsiTheme="minorEastAsia" w:eastAsiaTheme="minorEastAsia" w:cstheme="minorEastAsia"/>
                <w:color w:val="000000" w:themeColor="text1"/>
                <w:kern w:val="2"/>
                <w:sz w:val="24"/>
                <w:szCs w:val="24"/>
                <w:highlight w:val="none"/>
                <w14:textFill>
                  <w14:solidFill>
                    <w14:schemeClr w14:val="tx1"/>
                  </w14:solidFill>
                </w14:textFill>
              </w:rPr>
              <w:t xml:space="preserve"> </w:t>
            </w:r>
            <w:r>
              <w:rPr>
                <w:rStyle w:val="113"/>
                <w:rFonts w:hint="eastAsia" w:asciiTheme="minorEastAsia" w:hAnsiTheme="minorEastAsia" w:eastAsiaTheme="minorEastAsia" w:cstheme="minorEastAsia"/>
                <w:color w:val="000000" w:themeColor="text1"/>
                <w:kern w:val="2"/>
                <w:sz w:val="24"/>
                <w:szCs w:val="24"/>
                <w:highlight w:val="none"/>
                <w:lang w:val="en-US" w:eastAsia="zh-CN"/>
                <w14:textFill>
                  <w14:solidFill>
                    <w14:schemeClr w14:val="tx1"/>
                  </w14:solidFill>
                </w14:textFill>
              </w:rPr>
              <w:t>叁佰玖拾贰万壹仟陆佰元整</w:t>
            </w:r>
            <w:r>
              <w:rPr>
                <w:rStyle w:val="113"/>
                <w:rFonts w:hint="eastAsia" w:asciiTheme="minorEastAsia" w:hAnsiTheme="minorEastAsia" w:eastAsiaTheme="minorEastAsia" w:cstheme="minorEastAsia"/>
                <w:color w:val="000000" w:themeColor="text1"/>
                <w:kern w:val="2"/>
                <w:sz w:val="24"/>
                <w:szCs w:val="24"/>
                <w:highlight w:val="none"/>
                <w14:textFill>
                  <w14:solidFill>
                    <w14:schemeClr w14:val="tx1"/>
                  </w14:solidFill>
                </w14:textFill>
              </w:rPr>
              <w:t xml:space="preserve"> </w:t>
            </w:r>
          </w:p>
        </w:tc>
      </w:tr>
    </w:tbl>
    <w:p>
      <w:pPr>
        <w:pStyle w:val="102"/>
        <w:rPr>
          <w:rStyle w:val="113"/>
          <w:rFonts w:asciiTheme="minorEastAsia" w:hAnsiTheme="minorEastAsia" w:eastAsiaTheme="minorEastAsia" w:cstheme="minorEastAsia"/>
          <w:color w:val="000000" w:themeColor="text1"/>
          <w:sz w:val="24"/>
          <w:szCs w:val="24"/>
          <w:highlight w:val="none"/>
          <w14:textFill>
            <w14:solidFill>
              <w14:schemeClr w14:val="tx1"/>
            </w14:solidFill>
          </w14:textFill>
        </w:rPr>
      </w:pPr>
    </w:p>
    <w:p>
      <w:pPr>
        <w:widowControl/>
        <w:numPr>
          <w:ilvl w:val="0"/>
          <w:numId w:val="4"/>
        </w:numPr>
        <w:ind w:right="105" w:firstLine="482"/>
        <w:rPr>
          <w:rFonts w:asciiTheme="minorEastAsia" w:hAnsiTheme="minorEastAsia" w:eastAsiaTheme="minorEastAsia" w:cstheme="minorEastAsia"/>
          <w:color w:val="000000" w:themeColor="text1"/>
          <w:sz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项目服务主要技术及商务要求：</w:t>
      </w:r>
    </w:p>
    <w:p>
      <w:pPr>
        <w:widowControl/>
        <w:ind w:right="105" w:firstLine="482"/>
        <w:rPr>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（一）保安人数要求：</w:t>
      </w:r>
    </w:p>
    <w:tbl>
      <w:tblPr>
        <w:tblStyle w:val="31"/>
        <w:tblW w:w="921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984"/>
        <w:gridCol w:w="1768"/>
        <w:gridCol w:w="446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spacing w:line="440" w:lineRule="exact"/>
              <w:ind w:right="105" w:firstLine="0" w:firstLineChars="0"/>
              <w:jc w:val="center"/>
              <w:rPr>
                <w:rFonts w:hAnsi="宋体" w:eastAsia="宋体" w:cs="宋体"/>
                <w:b/>
                <w:color w:val="000000" w:themeColor="text1"/>
                <w:sz w:val="24"/>
                <w:szCs w:val="24"/>
                <w:highlight w:val="none"/>
                <w14:textFill>
                  <w14:solidFill>
                    <w14:schemeClr w14:val="tx1"/>
                  </w14:solidFill>
                </w14:textFill>
              </w:rPr>
            </w:pPr>
            <w:r>
              <w:rPr>
                <w:rFonts w:hint="eastAsia" w:hAnsi="宋体" w:eastAsia="宋体" w:cs="宋体"/>
                <w:b/>
                <w:color w:val="000000" w:themeColor="text1"/>
                <w:sz w:val="24"/>
                <w:szCs w:val="24"/>
                <w:highlight w:val="none"/>
                <w14:textFill>
                  <w14:solidFill>
                    <w14:schemeClr w14:val="tx1"/>
                  </w14:solidFill>
                </w14:textFill>
              </w:rPr>
              <w:t>项目品名</w:t>
            </w:r>
          </w:p>
        </w:tc>
        <w:tc>
          <w:tcPr>
            <w:tcW w:w="1768" w:type="dxa"/>
            <w:noWrap/>
            <w:vAlign w:val="center"/>
          </w:tcPr>
          <w:p>
            <w:pPr>
              <w:spacing w:line="440" w:lineRule="exact"/>
              <w:ind w:right="105" w:firstLine="0" w:firstLineChars="0"/>
              <w:jc w:val="center"/>
              <w:rPr>
                <w:rFonts w:hAnsi="宋体" w:eastAsia="宋体" w:cs="宋体"/>
                <w:b/>
                <w:color w:val="000000" w:themeColor="text1"/>
                <w:sz w:val="24"/>
                <w:szCs w:val="24"/>
                <w:highlight w:val="none"/>
                <w14:textFill>
                  <w14:solidFill>
                    <w14:schemeClr w14:val="tx1"/>
                  </w14:solidFill>
                </w14:textFill>
              </w:rPr>
            </w:pPr>
            <w:r>
              <w:rPr>
                <w:rFonts w:hint="eastAsia" w:hAnsi="宋体" w:eastAsia="宋体" w:cs="宋体"/>
                <w:b/>
                <w:color w:val="000000" w:themeColor="text1"/>
                <w:sz w:val="24"/>
                <w:szCs w:val="24"/>
                <w:highlight w:val="none"/>
                <w14:textFill>
                  <w14:solidFill>
                    <w14:schemeClr w14:val="tx1"/>
                  </w14:solidFill>
                </w14:textFill>
              </w:rPr>
              <w:t>保安人员数量</w:t>
            </w:r>
          </w:p>
        </w:tc>
        <w:tc>
          <w:tcPr>
            <w:tcW w:w="4463" w:type="dxa"/>
            <w:noWrap/>
            <w:vAlign w:val="center"/>
          </w:tcPr>
          <w:p>
            <w:pPr>
              <w:spacing w:line="440" w:lineRule="exact"/>
              <w:ind w:right="105" w:firstLine="0" w:firstLineChars="0"/>
              <w:jc w:val="center"/>
              <w:rPr>
                <w:rFonts w:hAnsi="宋体" w:eastAsia="宋体" w:cs="宋体"/>
                <w:b/>
                <w:color w:val="000000" w:themeColor="text1"/>
                <w:sz w:val="24"/>
                <w:szCs w:val="24"/>
                <w:highlight w:val="none"/>
                <w14:textFill>
                  <w14:solidFill>
                    <w14:schemeClr w14:val="tx1"/>
                  </w14:solidFill>
                </w14:textFill>
              </w:rPr>
            </w:pPr>
            <w:r>
              <w:rPr>
                <w:rFonts w:hint="eastAsia" w:hAnsi="宋体" w:eastAsia="宋体" w:cs="宋体"/>
                <w:b/>
                <w:color w:val="000000" w:themeColor="text1"/>
                <w:sz w:val="24"/>
                <w:szCs w:val="24"/>
                <w:highlight w:val="none"/>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000000" w:themeColor="text1"/>
                <w:sz w:val="18"/>
                <w:szCs w:val="18"/>
                <w:highlight w:val="none"/>
                <w:lang w:val="zh-CN"/>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1、四川东辰捷兴物业服务有限公司</w:t>
            </w:r>
            <w:r>
              <w:rPr>
                <w:rStyle w:val="113"/>
                <w:rFonts w:hint="eastAsia" w:ascii="宋体" w:hAnsi="宋体" w:eastAsia="宋体" w:cs="宋体"/>
                <w:color w:val="000000" w:themeColor="text1"/>
                <w:sz w:val="18"/>
                <w:szCs w:val="18"/>
                <w:highlight w:val="none"/>
                <w14:textFill>
                  <w14:solidFill>
                    <w14:schemeClr w14:val="tx1"/>
                  </w14:solidFill>
                </w14:textFill>
              </w:rPr>
              <w:t>-保安服务</w:t>
            </w:r>
          </w:p>
        </w:tc>
        <w:tc>
          <w:tcPr>
            <w:tcW w:w="1768" w:type="dxa"/>
            <w:noWrap/>
            <w:vAlign w:val="center"/>
          </w:tcPr>
          <w:p>
            <w:pPr>
              <w:spacing w:line="440" w:lineRule="exact"/>
              <w:ind w:right="105" w:firstLine="0" w:firstLineChars="0"/>
              <w:jc w:val="center"/>
              <w:rPr>
                <w:rFonts w:hint="eastAsia" w:hAnsi="宋体" w:eastAsia="宋体" w:cs="宋体"/>
                <w:bCs/>
                <w:color w:val="000000" w:themeColor="text1"/>
                <w:sz w:val="24"/>
                <w:szCs w:val="24"/>
                <w:highlight w:val="none"/>
                <w14:textFill>
                  <w14:solidFill>
                    <w14:schemeClr w14:val="tx1"/>
                  </w14:solidFill>
                </w14:textFill>
              </w:rPr>
            </w:pPr>
            <w:r>
              <w:rPr>
                <w:rFonts w:hint="eastAsia" w:ascii="宋体" w:hAnsi="宋体" w:eastAsia="宋体" w:cs="宋体"/>
                <w:bCs/>
                <w:color w:val="000000" w:themeColor="text1"/>
                <w:sz w:val="24"/>
                <w:szCs w:val="24"/>
                <w:highlight w:val="none"/>
                <w14:textFill>
                  <w14:solidFill>
                    <w14:schemeClr w14:val="tx1"/>
                  </w14:solidFill>
                </w14:textFill>
              </w:rPr>
              <w:t>1</w:t>
            </w:r>
            <w:r>
              <w:rPr>
                <w:rFonts w:hint="eastAsia" w:hAnsi="宋体" w:eastAsia="宋体" w:cs="宋体"/>
                <w:bCs/>
                <w:color w:val="000000" w:themeColor="text1"/>
                <w:sz w:val="24"/>
                <w:szCs w:val="24"/>
                <w:highlight w:val="none"/>
                <w:lang w:val="en-US" w:eastAsia="zh-CN"/>
                <w14:textFill>
                  <w14:solidFill>
                    <w14:schemeClr w14:val="tx1"/>
                  </w14:solidFill>
                </w14:textFill>
              </w:rPr>
              <w:t>1</w:t>
            </w:r>
            <w:r>
              <w:rPr>
                <w:rFonts w:hint="eastAsia" w:ascii="宋体" w:hAnsi="宋体" w:eastAsia="宋体" w:cs="宋体"/>
                <w:bCs/>
                <w:color w:val="000000" w:themeColor="text1"/>
                <w:sz w:val="24"/>
                <w:szCs w:val="24"/>
                <w:highlight w:val="none"/>
                <w14:textFill>
                  <w14:solidFill>
                    <w14:schemeClr w14:val="tx1"/>
                  </w14:solidFill>
                </w14:textFill>
              </w:rPr>
              <w:t>人</w:t>
            </w:r>
          </w:p>
        </w:tc>
        <w:tc>
          <w:tcPr>
            <w:tcW w:w="4463" w:type="dxa"/>
            <w:noWrap/>
            <w:vAlign w:val="center"/>
          </w:tcPr>
          <w:p>
            <w:pPr>
              <w:spacing w:line="440" w:lineRule="exact"/>
              <w:ind w:right="105" w:firstLine="480"/>
              <w:rPr>
                <w:rFonts w:hint="default" w:ascii="仿宋" w:hAnsi="仿宋" w:eastAsia="仿宋" w:cs="仿宋"/>
                <w:bCs/>
                <w:color w:val="000000" w:themeColor="text1"/>
                <w:sz w:val="24"/>
                <w:szCs w:val="24"/>
                <w:highlight w:val="none"/>
                <w:lang w:val="en-US" w:eastAsia="zh-CN"/>
                <w14:textFill>
                  <w14:solidFill>
                    <w14:schemeClr w14:val="tx1"/>
                  </w14:solidFill>
                </w14:textFill>
              </w:rPr>
            </w:pPr>
            <w:r>
              <w:rPr>
                <w:rFonts w:hint="eastAsia" w:ascii="仿宋" w:hAnsi="仿宋" w:eastAsia="仿宋" w:cs="仿宋"/>
                <w:bCs/>
                <w:color w:val="000000" w:themeColor="text1"/>
                <w:sz w:val="24"/>
                <w:szCs w:val="24"/>
                <w:highlight w:val="none"/>
                <w:lang w:val="en-US" w:eastAsia="zh-CN"/>
                <w14:textFill>
                  <w14:solidFill>
                    <w14:schemeClr w14:val="tx1"/>
                  </w14:solidFill>
                </w14:textFill>
              </w:rPr>
              <w:t>消控室1人，普通保安10人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000000" w:themeColor="text1"/>
                <w:sz w:val="18"/>
                <w:szCs w:val="18"/>
                <w:highlight w:val="none"/>
                <w:lang w:val="zh-CN"/>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2、四川东辰逸鑫物业服务有限公司</w:t>
            </w:r>
            <w:r>
              <w:rPr>
                <w:rStyle w:val="113"/>
                <w:rFonts w:hint="eastAsia" w:ascii="宋体" w:hAnsi="宋体" w:eastAsia="宋体" w:cs="宋体"/>
                <w:color w:val="000000" w:themeColor="text1"/>
                <w:sz w:val="18"/>
                <w:szCs w:val="18"/>
                <w:highlight w:val="none"/>
                <w14:textFill>
                  <w14:solidFill>
                    <w14:schemeClr w14:val="tx1"/>
                  </w14:solidFill>
                </w14:textFill>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000000" w:themeColor="text1"/>
                <w:sz w:val="24"/>
                <w:szCs w:val="24"/>
                <w:highlight w:val="none"/>
                <w14:textFill>
                  <w14:solidFill>
                    <w14:schemeClr w14:val="tx1"/>
                  </w14:solidFill>
                </w14:textFill>
              </w:rPr>
            </w:pPr>
            <w:r>
              <w:rPr>
                <w:rFonts w:hint="eastAsia" w:hAnsi="宋体" w:eastAsia="宋体" w:cs="宋体"/>
                <w:bCs/>
                <w:color w:val="000000" w:themeColor="text1"/>
                <w:sz w:val="24"/>
                <w:szCs w:val="24"/>
                <w:highlight w:val="none"/>
                <w:lang w:val="en-US" w:eastAsia="zh-CN"/>
                <w14:textFill>
                  <w14:solidFill>
                    <w14:schemeClr w14:val="tx1"/>
                  </w14:solidFill>
                </w14:textFill>
              </w:rPr>
              <w:t>13</w:t>
            </w:r>
            <w:r>
              <w:rPr>
                <w:rFonts w:hint="eastAsia" w:ascii="宋体" w:hAnsi="宋体" w:eastAsia="宋体" w:cs="宋体"/>
                <w:bCs/>
                <w:color w:val="000000" w:themeColor="text1"/>
                <w:sz w:val="24"/>
                <w:szCs w:val="24"/>
                <w:highlight w:val="none"/>
                <w14:textFill>
                  <w14:solidFill>
                    <w14:schemeClr w14:val="tx1"/>
                  </w14:solidFill>
                </w14:textFill>
              </w:rPr>
              <w:t>人</w:t>
            </w:r>
          </w:p>
        </w:tc>
        <w:tc>
          <w:tcPr>
            <w:tcW w:w="4463" w:type="dxa"/>
            <w:noWrap/>
            <w:vAlign w:val="center"/>
          </w:tcPr>
          <w:p>
            <w:pPr>
              <w:spacing w:line="440" w:lineRule="exact"/>
              <w:ind w:right="105" w:firstLine="480"/>
              <w:rPr>
                <w:rFonts w:ascii="仿宋" w:hAnsi="仿宋" w:eastAsia="仿宋" w:cs="仿宋"/>
                <w:bCs/>
                <w:color w:val="000000" w:themeColor="text1"/>
                <w:sz w:val="24"/>
                <w:szCs w:val="24"/>
                <w:highlight w:val="none"/>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Fonts w:hint="eastAsia" w:asciiTheme="majorEastAsia" w:hAnsiTheme="majorEastAsia" w:eastAsiaTheme="majorEastAsia" w:cstheme="majorEastAsia"/>
                <w:color w:val="000000" w:themeColor="text1"/>
                <w:szCs w:val="24"/>
                <w:highlight w:val="none"/>
                <w:lang w:val="zh-CN"/>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3、四川东辰仙海物业服务有限公司</w:t>
            </w:r>
            <w:r>
              <w:rPr>
                <w:rStyle w:val="113"/>
                <w:rFonts w:hint="eastAsia" w:ascii="宋体" w:hAnsi="宋体" w:eastAsia="宋体" w:cs="宋体"/>
                <w:color w:val="000000" w:themeColor="text1"/>
                <w:sz w:val="18"/>
                <w:szCs w:val="18"/>
                <w:highlight w:val="none"/>
                <w14:textFill>
                  <w14:solidFill>
                    <w14:schemeClr w14:val="tx1"/>
                  </w14:solidFill>
                </w14:textFill>
              </w:rPr>
              <w:t>-保安服务</w:t>
            </w:r>
          </w:p>
        </w:tc>
        <w:tc>
          <w:tcPr>
            <w:tcW w:w="1768" w:type="dxa"/>
            <w:noWrap/>
            <w:vAlign w:val="center"/>
          </w:tcPr>
          <w:p>
            <w:pPr>
              <w:spacing w:line="440" w:lineRule="exact"/>
              <w:ind w:left="0" w:leftChars="0" w:right="105" w:firstLine="0" w:firstLineChars="0"/>
              <w:jc w:val="center"/>
              <w:rPr>
                <w:rFonts w:hint="eastAsia" w:hAnsi="宋体" w:eastAsia="宋体" w:cs="宋体"/>
                <w:bCs/>
                <w:color w:val="000000" w:themeColor="text1"/>
                <w:sz w:val="24"/>
                <w:szCs w:val="24"/>
                <w:highlight w:val="none"/>
                <w14:textFill>
                  <w14:solidFill>
                    <w14:schemeClr w14:val="tx1"/>
                  </w14:solidFill>
                </w14:textFill>
              </w:rPr>
            </w:pPr>
            <w:r>
              <w:rPr>
                <w:rFonts w:hint="eastAsia" w:hAnsi="宋体" w:eastAsia="宋体" w:cs="宋体"/>
                <w:bCs/>
                <w:color w:val="000000" w:themeColor="text1"/>
                <w:sz w:val="24"/>
                <w:szCs w:val="24"/>
                <w:highlight w:val="none"/>
                <w:lang w:val="en-US" w:eastAsia="zh-CN"/>
                <w14:textFill>
                  <w14:solidFill>
                    <w14:schemeClr w14:val="tx1"/>
                  </w14:solidFill>
                </w14:textFill>
              </w:rPr>
              <w:t>10</w:t>
            </w:r>
            <w:r>
              <w:rPr>
                <w:rFonts w:hint="eastAsia" w:ascii="宋体" w:hAnsi="宋体" w:eastAsia="宋体" w:cs="宋体"/>
                <w:bCs/>
                <w:color w:val="000000" w:themeColor="text1"/>
                <w:sz w:val="24"/>
                <w:szCs w:val="24"/>
                <w:highlight w:val="none"/>
                <w14:textFill>
                  <w14:solidFill>
                    <w14:schemeClr w14:val="tx1"/>
                  </w14:solidFill>
                </w14:textFill>
              </w:rPr>
              <w:t>人</w:t>
            </w:r>
          </w:p>
        </w:tc>
        <w:tc>
          <w:tcPr>
            <w:tcW w:w="4463" w:type="dxa"/>
            <w:noWrap/>
            <w:vAlign w:val="center"/>
          </w:tcPr>
          <w:p>
            <w:pPr>
              <w:spacing w:line="440" w:lineRule="exact"/>
              <w:ind w:left="0" w:leftChars="0" w:right="105" w:firstLine="0" w:firstLineChars="0"/>
              <w:rPr>
                <w:rFonts w:hint="default" w:ascii="仿宋" w:hAnsi="仿宋" w:eastAsia="仿宋" w:cs="仿宋"/>
                <w:bCs/>
                <w:color w:val="000000" w:themeColor="text1"/>
                <w:sz w:val="24"/>
                <w:szCs w:val="24"/>
                <w:highlight w:val="none"/>
                <w:lang w:val="en-US"/>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lang w:val="en-US" w:eastAsia="zh-CN"/>
                <w14:textFill>
                  <w14:solidFill>
                    <w14:schemeClr w14:val="tx1"/>
                  </w14:solidFill>
                </w14:textFill>
              </w:rPr>
              <w:t>普通保安</w:t>
            </w:r>
            <w:r>
              <w:rPr>
                <w:rFonts w:hint="eastAsia" w:asciiTheme="majorEastAsia" w:hAnsiTheme="majorEastAsia" w:eastAsiaTheme="majorEastAsia" w:cstheme="majorEastAsia"/>
                <w:bCs/>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bCs/>
                <w:color w:val="000000" w:themeColor="text1"/>
                <w:sz w:val="24"/>
                <w:szCs w:val="24"/>
                <w:highlight w:val="none"/>
                <w:lang w:val="en-US" w:eastAsia="zh-CN"/>
                <w14:textFill>
                  <w14:solidFill>
                    <w14:schemeClr w14:val="tx1"/>
                  </w14:solidFill>
                </w14:textFill>
              </w:rPr>
              <w:t>4人，礼仪保安：4人，消控室值班人员：2人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76" w:hRule="atLeast"/>
        </w:trPr>
        <w:tc>
          <w:tcPr>
            <w:tcW w:w="2984" w:type="dxa"/>
            <w:noWrap/>
            <w:vAlign w:val="center"/>
          </w:tcPr>
          <w:p>
            <w:pPr>
              <w:pStyle w:val="102"/>
              <w:jc w:val="center"/>
              <w:rPr>
                <w:rStyle w:val="113"/>
                <w:rFonts w:hint="default" w:ascii="宋体" w:hAnsi="宋体" w:eastAsia="宋体" w:cs="宋体"/>
                <w:color w:val="000000" w:themeColor="text1"/>
                <w:sz w:val="18"/>
                <w:szCs w:val="18"/>
                <w:highlight w:val="none"/>
                <w:lang w:val="en-US" w:eastAsia="zh-CN"/>
                <w14:textFill>
                  <w14:solidFill>
                    <w14:schemeClr w14:val="tx1"/>
                  </w14:solidFill>
                </w14:textFill>
              </w:rPr>
            </w:pPr>
            <w:r>
              <w:rPr>
                <w:rStyle w:val="113"/>
                <w:rFonts w:hint="eastAsia" w:ascii="宋体" w:hAnsi="宋体" w:eastAsia="宋体" w:cs="宋体"/>
                <w:color w:val="000000" w:themeColor="text1"/>
                <w:sz w:val="18"/>
                <w:szCs w:val="18"/>
                <w:highlight w:val="none"/>
                <w:lang w:val="en-US" w:eastAsia="zh-CN"/>
                <w14:textFill>
                  <w14:solidFill>
                    <w14:schemeClr w14:val="tx1"/>
                  </w14:solidFill>
                </w14:textFill>
              </w:rPr>
              <w:t>4、四川辰悦联家物业服务有限公司-保安服务</w:t>
            </w:r>
          </w:p>
        </w:tc>
        <w:tc>
          <w:tcPr>
            <w:tcW w:w="1768" w:type="dxa"/>
            <w:noWrap/>
            <w:vAlign w:val="center"/>
          </w:tcPr>
          <w:p>
            <w:pPr>
              <w:spacing w:line="440" w:lineRule="exact"/>
              <w:ind w:left="0" w:leftChars="0" w:right="105" w:firstLine="0" w:firstLineChars="0"/>
              <w:jc w:val="center"/>
              <w:rPr>
                <w:rFonts w:hint="default" w:hAnsi="宋体" w:eastAsia="宋体" w:cs="宋体"/>
                <w:bCs/>
                <w:color w:val="000000" w:themeColor="text1"/>
                <w:sz w:val="24"/>
                <w:szCs w:val="24"/>
                <w:highlight w:val="none"/>
                <w:lang w:val="en-US" w:eastAsia="zh-CN"/>
                <w14:textFill>
                  <w14:solidFill>
                    <w14:schemeClr w14:val="tx1"/>
                  </w14:solidFill>
                </w14:textFill>
              </w:rPr>
            </w:pPr>
            <w:r>
              <w:rPr>
                <w:rFonts w:hint="eastAsia" w:hAnsi="宋体" w:eastAsia="宋体" w:cs="宋体"/>
                <w:bCs/>
                <w:color w:val="000000" w:themeColor="text1"/>
                <w:sz w:val="24"/>
                <w:szCs w:val="24"/>
                <w:highlight w:val="none"/>
                <w:lang w:val="en-US" w:eastAsia="zh-CN"/>
                <w14:textFill>
                  <w14:solidFill>
                    <w14:schemeClr w14:val="tx1"/>
                  </w14:solidFill>
                </w14:textFill>
              </w:rPr>
              <w:t>9人</w:t>
            </w:r>
          </w:p>
        </w:tc>
        <w:tc>
          <w:tcPr>
            <w:tcW w:w="4463" w:type="dxa"/>
            <w:noWrap/>
            <w:vAlign w:val="center"/>
          </w:tcPr>
          <w:p>
            <w:pPr>
              <w:spacing w:line="440" w:lineRule="exact"/>
              <w:ind w:left="0" w:leftChars="0" w:right="105" w:firstLine="0" w:firstLineChars="0"/>
              <w:rPr>
                <w:rFonts w:hint="default" w:asciiTheme="majorEastAsia" w:hAnsiTheme="majorEastAsia" w:eastAsiaTheme="majorEastAsia" w:cstheme="majorEastAsia"/>
                <w:bCs/>
                <w:color w:val="000000" w:themeColor="text1"/>
                <w:sz w:val="24"/>
                <w:szCs w:val="24"/>
                <w:highlight w:val="none"/>
                <w:lang w:val="en-US" w:eastAsia="zh-CN"/>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lang w:val="en-US" w:eastAsia="zh-CN"/>
                <w14:textFill>
                  <w14:solidFill>
                    <w14:schemeClr w14:val="tx1"/>
                  </w14:solidFill>
                </w14:textFill>
              </w:rPr>
              <w:t>普通保安：7人，消控室值班人员：2人</w:t>
            </w:r>
          </w:p>
        </w:tc>
      </w:tr>
    </w:tbl>
    <w:p>
      <w:pPr>
        <w:tabs>
          <w:tab w:val="left" w:pos="7740"/>
        </w:tabs>
        <w:spacing w:beforeLines="50" w:afterLines="50"/>
        <w:ind w:right="105" w:firstLine="482"/>
        <w:rPr>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（二）公司项目概况、服务内容及标准：</w:t>
      </w:r>
    </w:p>
    <w:p>
      <w:pPr>
        <w:pStyle w:val="44"/>
        <w:snapToGrid w:val="0"/>
        <w:spacing w:line="360" w:lineRule="auto"/>
        <w:ind w:firstLine="480" w:firstLineChars="200"/>
        <w:rPr>
          <w:rFonts w:hAnsi="宋体" w:eastAsia="宋体" w:cs="宋体"/>
          <w:b/>
          <w:color w:val="000000" w:themeColor="text1"/>
          <w:szCs w:val="24"/>
          <w:highlight w:val="none"/>
          <w14:textFill>
            <w14:solidFill>
              <w14:schemeClr w14:val="tx1"/>
            </w14:solidFill>
          </w14:textFill>
        </w:rPr>
      </w:pPr>
      <w:r>
        <w:rPr>
          <w:rFonts w:hint="eastAsia" w:hAnsi="宋体" w:eastAsia="宋体" w:cs="宋体"/>
          <w:b/>
          <w:color w:val="000000" w:themeColor="text1"/>
          <w:szCs w:val="24"/>
          <w:highlight w:val="none"/>
          <w:lang w:val="en-US" w:eastAsia="zh-CN"/>
          <w14:textFill>
            <w14:solidFill>
              <w14:schemeClr w14:val="tx1"/>
            </w14:solidFill>
          </w14:textFill>
        </w:rPr>
        <w:t>1、</w:t>
      </w:r>
      <w:r>
        <w:rPr>
          <w:rFonts w:hint="eastAsia" w:hAnsi="宋体" w:eastAsia="宋体" w:cs="宋体"/>
          <w:b/>
          <w:color w:val="000000" w:themeColor="text1"/>
          <w:szCs w:val="24"/>
          <w:highlight w:val="none"/>
          <w14:textFill>
            <w14:solidFill>
              <w14:schemeClr w14:val="tx1"/>
            </w14:solidFill>
          </w14:textFill>
        </w:rPr>
        <w:t>项目品名：</w:t>
      </w:r>
      <w:r>
        <w:rPr>
          <w:rFonts w:hint="eastAsia" w:hAnsi="宋体" w:eastAsia="宋体" w:cs="宋体"/>
          <w:b/>
          <w:color w:val="000000" w:themeColor="text1"/>
          <w:szCs w:val="24"/>
          <w:highlight w:val="none"/>
          <w:lang w:val="en-US" w:eastAsia="zh-CN"/>
          <w14:textFill>
            <w14:solidFill>
              <w14:schemeClr w14:val="tx1"/>
            </w14:solidFill>
          </w14:textFill>
        </w:rPr>
        <w:t>四川东辰捷兴物业服务有限公司</w:t>
      </w:r>
      <w:r>
        <w:rPr>
          <w:rFonts w:hint="eastAsia" w:hAnsi="宋体" w:eastAsia="宋体" w:cs="宋体"/>
          <w:b/>
          <w:color w:val="000000" w:themeColor="text1"/>
          <w:szCs w:val="24"/>
          <w:highlight w:val="none"/>
          <w14:textFill>
            <w14:solidFill>
              <w14:schemeClr w14:val="tx1"/>
            </w14:solidFill>
          </w14:textFill>
        </w:rPr>
        <w:t>-保安服务</w:t>
      </w:r>
    </w:p>
    <w:p>
      <w:pPr>
        <w:tabs>
          <w:tab w:val="left" w:pos="7740"/>
        </w:tabs>
        <w:spacing w:beforeLines="50" w:afterLines="50" w:line="440" w:lineRule="exact"/>
        <w:ind w:right="105" w:firstLine="480"/>
        <w:rPr>
          <w:rFonts w:asciiTheme="minorEastAsia" w:hAnsiTheme="minorEastAsia" w:eastAsiaTheme="minorEastAsia" w:cstheme="minorEastAsia"/>
          <w:color w:val="000000" w:themeColor="text1"/>
          <w:sz w:val="24"/>
          <w:szCs w:val="24"/>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val="zh-CN"/>
          <w14:textFill>
            <w14:solidFill>
              <w14:schemeClr w14:val="tx1"/>
            </w14:solidFill>
          </w14:textFill>
        </w:rPr>
        <w:t>物业地址：</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东辰.永兴国际：</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绵阳市高新区绵兴中路209号</w:t>
      </w:r>
    </w:p>
    <w:p>
      <w:pPr>
        <w:tabs>
          <w:tab w:val="left" w:pos="7740"/>
        </w:tabs>
        <w:spacing w:beforeLines="50" w:afterLines="50" w:line="440" w:lineRule="exact"/>
        <w:ind w:right="105" w:firstLine="480"/>
        <w:rPr>
          <w:rFonts w:asciiTheme="minorEastAsia" w:hAnsiTheme="minorEastAsia" w:eastAsiaTheme="minorEastAsia" w:cstheme="minorEastAsia"/>
          <w:color w:val="000000" w:themeColor="text1"/>
          <w:sz w:val="24"/>
          <w:szCs w:val="24"/>
          <w:highlight w:val="none"/>
          <w:lang w:val="zh-CN"/>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lang w:val="zh-CN"/>
          <w14:textFill>
            <w14:solidFill>
              <w14:schemeClr w14:val="tx1"/>
            </w14:solidFill>
          </w14:textFill>
        </w:rPr>
        <w:t>服务面积：</w:t>
      </w:r>
      <w:r>
        <w:rPr>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18.12</w:t>
      </w: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万</w:t>
      </w:r>
      <w:r>
        <w:rPr>
          <w:rFonts w:hint="eastAsia" w:asciiTheme="minorEastAsia" w:hAnsiTheme="minorEastAsia" w:eastAsiaTheme="minorEastAsia" w:cstheme="minorEastAsia"/>
          <w:color w:val="000000" w:themeColor="text1"/>
          <w:sz w:val="24"/>
          <w:szCs w:val="24"/>
          <w:highlight w:val="none"/>
          <w:lang w:val="zh-CN"/>
          <w14:textFill>
            <w14:solidFill>
              <w14:schemeClr w14:val="tx1"/>
            </w14:solidFill>
          </w14:textFill>
        </w:rPr>
        <w:t>平方米左右</w:t>
      </w:r>
    </w:p>
    <w:p>
      <w:pPr>
        <w:pStyle w:val="7"/>
        <w:spacing w:line="440" w:lineRule="exact"/>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eastAsia="宋体" w:cs="宋体"/>
          <w:color w:val="000000" w:themeColor="text1"/>
          <w:sz w:val="24"/>
          <w:szCs w:val="24"/>
          <w:highlight w:val="none"/>
          <w:lang w:val="zh-CN"/>
          <w14:textFill>
            <w14:solidFill>
              <w14:schemeClr w14:val="tx1"/>
            </w14:solidFill>
          </w14:textFill>
        </w:rPr>
        <w:t>服务内容及标准：</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① 包括但不限于本项目符合招标人要求的巡逻和消防及安全监控， 维护本项目的秩序， 保障东辰永兴国际项目内所有财产及人身的安全。若因乙方保安人员未正常履职或故意行为造成东辰永兴国际项目内业主财产损失或人身伤害的由乙方承担相应的赔偿责任。</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② 本项目所有岗位物品及招标人移交之物品，乙方负有保管义务，移交的物品有遗失或损坏，乙方应承担相应的责任及赔偿。</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③ 本项目区域的治安管理：公共区域、停车场、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④ 消防管理：熟悉消防设备设施、掌握各种消防器材使用方法，按照招标人的消防管理标准，做好应急预案，并按照执行。做好每月消防月检查记录，并做好书面纸质登记，按月交甲方存档。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⑤ 车辆管理：熟练掌握本项目车辆进出操作流程，疏导及指引车辆，严防电瓶车乱拉线充电，并要求商家及外来车辆到指定区域充电；以保障本区域车辆进出及停放有序，协助物业服务中心收取停车费并做好纸质登记。</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⑥ 人员出入管理（外来访客及装修、施工人员、工作人员出入管理），按照招标人物业服务标准，文明执勤礼貌待客，并做好书面登记，按月交招标人存档。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⑦ 物品管理（大件物品进出登记、检查、核对、汇报），禁止危险品进入本区域楼栋和地下室，并做好书面登记，按月交招标人存档。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⑧ 装修管理：按照招标人的服务标准对装修人员、车辆、物品进出检查登记， 装修巡查、违章装修的监管，并做好书面登记，按月交招标人存档。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⑨ 钥匙管理：严格对大门、管理用房及招标人移交之所有钥匙（含进出门禁卡）的管理，并做好书面登记，按月交招标人存档。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⑩ 做好本项目的巡逻、检查工作及各类安全隐患的预防性管控，并做好书面登记，按月交招标人存档。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⑪紧急事件处理（现场控制、急救、通知相关部门及采取措施防止事态扩大等），并做好书面登记，按月交招标人存档。</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⑫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⑬ 招标人要求配合的其他与工作相关的合法事宜：</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a.每周对所有队员进行队列训练一次；</w:t>
      </w:r>
    </w:p>
    <w:p>
      <w:pPr>
        <w:pStyle w:val="7"/>
        <w:ind w:right="105"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b.每六个月进行一次消防应急演练；</w:t>
      </w:r>
    </w:p>
    <w:p>
      <w:pPr>
        <w:pStyle w:val="7"/>
        <w:ind w:right="105" w:firstLine="480"/>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C.重点部位1小时巡逻1次；</w:t>
      </w:r>
    </w:p>
    <w:p>
      <w:pPr>
        <w:pStyle w:val="8"/>
        <w:rPr>
          <w:rFonts w:hint="default"/>
          <w:color w:val="000000" w:themeColor="text1"/>
          <w:highlight w:val="none"/>
          <w:lang w:val="en-US" w:eastAsia="zh-CN"/>
          <w14:textFill>
            <w14:solidFill>
              <w14:schemeClr w14:val="tx1"/>
            </w14:solidFill>
          </w14:textFill>
        </w:rPr>
      </w:pPr>
      <w:r>
        <w:rPr>
          <w:rFonts w:hint="eastAsia" w:hAnsi="宋体" w:eastAsia="宋体" w:cs="宋体"/>
          <w:color w:val="000000" w:themeColor="text1"/>
          <w:sz w:val="24"/>
          <w:szCs w:val="24"/>
          <w:highlight w:val="none"/>
          <w:lang w:val="en-US" w:eastAsia="zh-CN"/>
          <w14:textFill>
            <w14:solidFill>
              <w14:schemeClr w14:val="tx1"/>
            </w14:solidFill>
          </w14:textFill>
        </w:rPr>
        <w:t>d.早晚分时段门岗站岗1小时服务</w:t>
      </w:r>
    </w:p>
    <w:p>
      <w:pPr>
        <w:pStyle w:val="7"/>
        <w:ind w:right="105" w:firstLine="480"/>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保安人员年龄上限为60岁，</w:t>
      </w:r>
      <w:r>
        <w:rPr>
          <w:rFonts w:hint="eastAsia" w:ascii="宋体" w:hAnsi="宋体" w:eastAsia="宋体" w:cs="宋体"/>
          <w:color w:val="000000" w:themeColor="text1"/>
          <w:sz w:val="24"/>
          <w:szCs w:val="24"/>
          <w:highlight w:val="none"/>
          <w:lang w:val="en-US" w:eastAsia="zh-CN"/>
          <w14:textFill>
            <w14:solidFill>
              <w14:schemeClr w14:val="tx1"/>
            </w14:solidFill>
          </w14:textFill>
        </w:rPr>
        <w:t>文化初中及以上，身高165厘米以上，消控室值班人员必须持有应急管理部门颁发的中级消防设施操作员证</w:t>
      </w:r>
      <w:r>
        <w:rPr>
          <w:rFonts w:hint="eastAsia" w:ascii="宋体" w:hAnsi="宋体" w:eastAsia="宋体" w:cs="宋体"/>
          <w:color w:val="000000" w:themeColor="text1"/>
          <w:sz w:val="24"/>
          <w:szCs w:val="24"/>
          <w:highlight w:val="none"/>
          <w:lang w:val="zh-CN"/>
          <w14:textFill>
            <w14:solidFill>
              <w14:schemeClr w14:val="tx1"/>
            </w14:solidFill>
          </w14:textFill>
        </w:rPr>
        <w:t>。</w:t>
      </w:r>
    </w:p>
    <w:p>
      <w:pPr>
        <w:pStyle w:val="44"/>
        <w:snapToGrid w:val="0"/>
        <w:spacing w:line="360" w:lineRule="auto"/>
        <w:ind w:firstLine="480" w:firstLineChars="200"/>
        <w:rPr>
          <w:rFonts w:hAnsi="宋体" w:eastAsia="宋体" w:cs="宋体"/>
          <w:b/>
          <w:color w:val="000000" w:themeColor="text1"/>
          <w:szCs w:val="24"/>
          <w:highlight w:val="none"/>
          <w14:textFill>
            <w14:solidFill>
              <w14:schemeClr w14:val="tx1"/>
            </w14:solidFill>
          </w14:textFill>
        </w:rPr>
      </w:pPr>
      <w:r>
        <w:rPr>
          <w:rFonts w:hint="eastAsia" w:hAnsi="宋体" w:eastAsia="宋体" w:cs="宋体"/>
          <w:b/>
          <w:color w:val="000000" w:themeColor="text1"/>
          <w:szCs w:val="24"/>
          <w:highlight w:val="none"/>
          <w:lang w:val="en-US" w:eastAsia="zh-CN"/>
          <w14:textFill>
            <w14:solidFill>
              <w14:schemeClr w14:val="tx1"/>
            </w14:solidFill>
          </w14:textFill>
        </w:rPr>
        <w:t>2、</w:t>
      </w:r>
      <w:r>
        <w:rPr>
          <w:rFonts w:hint="eastAsia" w:hAnsi="宋体" w:eastAsia="宋体" w:cs="宋体"/>
          <w:b/>
          <w:color w:val="000000" w:themeColor="text1"/>
          <w:szCs w:val="24"/>
          <w:highlight w:val="none"/>
          <w14:textFill>
            <w14:solidFill>
              <w14:schemeClr w14:val="tx1"/>
            </w14:solidFill>
          </w14:textFill>
        </w:rPr>
        <w:t>项目品名：</w:t>
      </w:r>
      <w:r>
        <w:rPr>
          <w:rFonts w:hint="eastAsia" w:hAnsi="宋体" w:eastAsia="宋体" w:cs="宋体"/>
          <w:b/>
          <w:color w:val="000000" w:themeColor="text1"/>
          <w:szCs w:val="24"/>
          <w:highlight w:val="none"/>
          <w:lang w:val="en-US" w:eastAsia="zh-CN"/>
          <w14:textFill>
            <w14:solidFill>
              <w14:schemeClr w14:val="tx1"/>
            </w14:solidFill>
          </w14:textFill>
        </w:rPr>
        <w:t>四川东辰逸鑫物业服务有限公司</w:t>
      </w:r>
      <w:r>
        <w:rPr>
          <w:rFonts w:hint="eastAsia" w:hAnsi="宋体" w:eastAsia="宋体" w:cs="宋体"/>
          <w:b/>
          <w:color w:val="000000" w:themeColor="text1"/>
          <w:szCs w:val="24"/>
          <w:highlight w:val="none"/>
          <w14:textFill>
            <w14:solidFill>
              <w14:schemeClr w14:val="tx1"/>
            </w14:solidFill>
          </w14:textFill>
        </w:rPr>
        <w:t>-保安服务</w:t>
      </w:r>
    </w:p>
    <w:p>
      <w:pPr>
        <w:tabs>
          <w:tab w:val="left" w:pos="7740"/>
        </w:tabs>
        <w:spacing w:line="240" w:lineRule="auto"/>
        <w:ind w:firstLine="480" w:firstLineChars="200"/>
        <w:rPr>
          <w:rFonts w:hint="default"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1、</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物业地址：</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东辰阳光清华：绵阳市科技城新区创业园区街道阳光社区</w:t>
      </w:r>
    </w:p>
    <w:p>
      <w:pPr>
        <w:tabs>
          <w:tab w:val="left" w:pos="7740"/>
        </w:tabs>
        <w:spacing w:before="156" w:beforeLines="50" w:after="156" w:afterLines="50" w:line="440" w:lineRule="exact"/>
        <w:ind w:firstLine="480"/>
        <w:rPr>
          <w:rFonts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服务面积：</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49</w:t>
      </w: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万</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平方米左右</w:t>
      </w:r>
    </w:p>
    <w:p>
      <w:pPr>
        <w:pStyle w:val="7"/>
        <w:spacing w:line="440" w:lineRule="exact"/>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w:t>
      </w:r>
      <w:r>
        <w:rPr>
          <w:rFonts w:hint="eastAsia" w:ascii="宋体" w:hAnsi="宋体" w:eastAsia="宋体" w:cs="宋体"/>
          <w:color w:val="000000" w:themeColor="text1"/>
          <w:sz w:val="24"/>
          <w:szCs w:val="24"/>
          <w:highlight w:val="none"/>
          <w:lang w:val="zh-CN"/>
          <w14:textFill>
            <w14:solidFill>
              <w14:schemeClr w14:val="tx1"/>
            </w14:solidFill>
          </w14:textFill>
        </w:rPr>
        <w:t>服务内容及标准：</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① 包括但不限于</w:t>
      </w:r>
      <w:r>
        <w:rPr>
          <w:rFonts w:hint="eastAsia" w:ascii="宋体" w:hAnsi="宋体" w:eastAsia="宋体" w:cs="宋体"/>
          <w:color w:val="000000" w:themeColor="text1"/>
          <w:sz w:val="24"/>
          <w:szCs w:val="24"/>
          <w:highlight w:val="none"/>
          <w:lang w:val="en-US" w:eastAsia="zh-CN"/>
          <w14:textFill>
            <w14:solidFill>
              <w14:schemeClr w14:val="tx1"/>
            </w14:solidFill>
          </w14:textFill>
        </w:rPr>
        <w:t>本项目符合招标人要求的巡逻和消防及安全监控，</w:t>
      </w:r>
      <w:r>
        <w:rPr>
          <w:rFonts w:hint="eastAsia" w:ascii="宋体" w:hAnsi="宋体" w:eastAsia="宋体" w:cs="宋体"/>
          <w:color w:val="000000" w:themeColor="text1"/>
          <w:sz w:val="24"/>
          <w:szCs w:val="24"/>
          <w:highlight w:val="none"/>
          <w:lang w:val="zh-CN"/>
          <w14:textFill>
            <w14:solidFill>
              <w14:schemeClr w14:val="tx1"/>
            </w14:solidFill>
          </w14:textFill>
        </w:rPr>
        <w:t>维护本</w:t>
      </w:r>
      <w:r>
        <w:rPr>
          <w:rFonts w:hint="eastAsia" w:ascii="宋体" w:hAnsi="宋体" w:eastAsia="宋体" w:cs="宋体"/>
          <w:color w:val="000000" w:themeColor="text1"/>
          <w:sz w:val="24"/>
          <w:szCs w:val="24"/>
          <w:highlight w:val="none"/>
          <w:lang w:val="en-US" w:eastAsia="zh-CN"/>
          <w14:textFill>
            <w14:solidFill>
              <w14:schemeClr w14:val="tx1"/>
            </w14:solidFill>
          </w14:textFill>
        </w:rPr>
        <w:t>项目</w:t>
      </w:r>
      <w:r>
        <w:rPr>
          <w:rFonts w:hint="eastAsia" w:ascii="宋体" w:hAnsi="宋体" w:eastAsia="宋体" w:cs="宋体"/>
          <w:color w:val="000000" w:themeColor="text1"/>
          <w:sz w:val="24"/>
          <w:szCs w:val="24"/>
          <w:highlight w:val="none"/>
          <w:lang w:val="zh-CN"/>
          <w14:textFill>
            <w14:solidFill>
              <w14:schemeClr w14:val="tx1"/>
            </w14:solidFill>
          </w14:textFill>
        </w:rPr>
        <w:t>范围内秩序、负责服务区域财产安全、物品出入管理；保障项目内所有财产及人身的安全。若因乙方保安人员未正常履职或故意行为造成项目内业主或商家财产损失或人身伤害的由乙方承担相应的赔偿责任。</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② 本项目所有岗位物品及招标人移交之物品，乙方负有保管义务，移交的物品有遗失或损坏，乙方应承担相应的责任及赔偿。</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③ 本项目区域的治安管理：负责购物中心的安保，提供安全防范工作，维护甲方的正常工作、经营秩序和人、财、物安全等,熟练掌握并熟练应用消防系统、视频监控系统、门禁及可视对讲系统以及巡更系统等各类设备设施。</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④ 消防管理：熟悉消防设备设施、掌握各种消防器材使用方法，按照招标人的消防管理标准，做好应急预案，并按照执行。做好每月消防月检查记录，并做好书面纸质登记，按月交甲方存档。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⑤ 人员出入管理，按照商业运营服务标准，文明执勤礼貌待客。</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⑥ 物品管理，做好日常货品及其他物品进出钉钉审核查巡、检查、核对、汇报，禁止危险品进入商业中心，并做好书面登记，按月交招标人存档。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⑦装修管理：按照招标人的服务标准对装修人员、车辆、物品进出检查登记， 装修巡查、违章装修的监管，并做好书面登记，按月交招标人存档。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⑧钥匙管理：严格对大门、管理用房及招标人移交之所有钥匙（含进出门禁卡）的管理，并做好书面登记，按月交招标人存档。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⑨做好本项目的巡逻、检查工作及各类安全隐患的预防性管控，并做好书面登记，按月交招标人存档。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⑩紧急事件处理（现场控制、急救、通知相关部门及采取措施防止事态扩大等），并做好书面登记，按月交招标人存档。</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⑪本项目所有设备房、空置房、室外所有设施设备、所有岗位物品及招标人移交之物品，乙方负有保管义务，如上述设施设备财产有遗失或损坏，乙方应承担相应的责任及赔偿，并履行相关临时性配合工作及招标人合理的服务要求。</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⑫招标人要求配合的其他与工作相关的合法事宜：</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a.每周对所有队员进行队列训练一次；</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bookmarkStart w:id="9" w:name="OLE_LINK3"/>
      <w:bookmarkStart w:id="10" w:name="OLE_LINK4"/>
      <w:r>
        <w:rPr>
          <w:rFonts w:hint="eastAsia" w:ascii="宋体" w:hAnsi="宋体" w:eastAsia="宋体" w:cs="宋体"/>
          <w:color w:val="000000" w:themeColor="text1"/>
          <w:sz w:val="24"/>
          <w:szCs w:val="24"/>
          <w:highlight w:val="none"/>
          <w:lang w:val="zh-CN"/>
          <w14:textFill>
            <w14:solidFill>
              <w14:schemeClr w14:val="tx1"/>
            </w14:solidFill>
          </w14:textFill>
        </w:rPr>
        <w:t>b.</w:t>
      </w:r>
      <w:bookmarkEnd w:id="9"/>
      <w:bookmarkEnd w:id="10"/>
      <w:r>
        <w:rPr>
          <w:rFonts w:hint="eastAsia" w:ascii="宋体" w:hAnsi="宋体" w:eastAsia="宋体" w:cs="宋体"/>
          <w:color w:val="000000" w:themeColor="text1"/>
          <w:sz w:val="24"/>
          <w:szCs w:val="24"/>
          <w:highlight w:val="none"/>
          <w:lang w:val="zh-CN"/>
          <w14:textFill>
            <w14:solidFill>
              <w14:schemeClr w14:val="tx1"/>
            </w14:solidFill>
          </w14:textFill>
        </w:rPr>
        <w:t>每六个月进行一次消防应急演练；</w:t>
      </w:r>
    </w:p>
    <w:p>
      <w:pPr>
        <w:pStyle w:val="7"/>
        <w:ind w:firstLine="480"/>
        <w:rPr>
          <w:rFonts w:hint="eastAsia" w:hAnsi="宋体" w:eastAsia="宋体" w:cs="宋体"/>
          <w:color w:val="000000" w:themeColor="text1"/>
          <w:sz w:val="24"/>
          <w:szCs w:val="24"/>
          <w:highlight w:val="none"/>
          <w:lang w:val="zh-CN"/>
          <w14:textFill>
            <w14:solidFill>
              <w14:schemeClr w14:val="tx1"/>
            </w14:solidFill>
          </w14:textFill>
        </w:rPr>
      </w:pPr>
      <w:r>
        <w:rPr>
          <w:rFonts w:hint="eastAsia" w:hAnsi="宋体" w:eastAsia="宋体" w:cs="宋体"/>
          <w:color w:val="000000" w:themeColor="text1"/>
          <w:sz w:val="24"/>
          <w:szCs w:val="24"/>
          <w:highlight w:val="none"/>
          <w:lang w:val="zh-CN"/>
          <w14:textFill>
            <w14:solidFill>
              <w14:schemeClr w14:val="tx1"/>
            </w14:solidFill>
          </w14:textFill>
        </w:rPr>
        <w:t>c.</w:t>
      </w:r>
      <w:r>
        <w:rPr>
          <w:rFonts w:hint="eastAsia" w:hAnsi="宋体" w:eastAsia="宋体" w:cs="宋体"/>
          <w:color w:val="000000" w:themeColor="text1"/>
          <w:sz w:val="24"/>
          <w:szCs w:val="24"/>
          <w:highlight w:val="none"/>
          <w:lang w:val="en-US" w:eastAsia="zh-CN"/>
          <w14:textFill>
            <w14:solidFill>
              <w14:schemeClr w14:val="tx1"/>
            </w14:solidFill>
          </w14:textFill>
        </w:rPr>
        <w:t>重点部位2小时巡逻一次</w:t>
      </w:r>
      <w:r>
        <w:rPr>
          <w:rFonts w:hint="eastAsia" w:hAnsi="宋体" w:eastAsia="宋体" w:cs="宋体"/>
          <w:color w:val="000000" w:themeColor="text1"/>
          <w:sz w:val="24"/>
          <w:szCs w:val="24"/>
          <w:highlight w:val="none"/>
          <w:lang w:val="zh-CN"/>
          <w14:textFill>
            <w14:solidFill>
              <w14:schemeClr w14:val="tx1"/>
            </w14:solidFill>
          </w14:textFill>
        </w:rPr>
        <w:t>。</w:t>
      </w:r>
    </w:p>
    <w:p>
      <w:pPr>
        <w:pStyle w:val="8"/>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highlight w:val="none"/>
          <w:lang w:val="en-US" w:eastAsia="zh-CN"/>
          <w14:textFill>
            <w14:solidFill>
              <w14:schemeClr w14:val="tx1"/>
            </w14:solidFill>
          </w14:textFill>
        </w:rPr>
        <w:t>d.分时段门岗站岗服务。</w:t>
      </w:r>
    </w:p>
    <w:p>
      <w:pPr>
        <w:pStyle w:val="7"/>
        <w:ind w:firstLine="480"/>
        <w:rPr>
          <w:rFonts w:ascii="宋体" w:hAnsi="宋体" w:eastAsia="宋体" w:cs="宋体"/>
          <w:color w:val="000000" w:themeColor="text1"/>
          <w:sz w:val="24"/>
          <w:szCs w:val="24"/>
          <w:highlight w:val="none"/>
          <w:lang w:val="zh-CN"/>
          <w14:textFill>
            <w14:solidFill>
              <w14:schemeClr w14:val="tx1"/>
            </w14:solidFill>
          </w14:textFill>
        </w:rPr>
      </w:pPr>
      <w:bookmarkStart w:id="11" w:name="OLE_LINK6"/>
      <w:bookmarkStart w:id="12" w:name="OLE_LINK5"/>
      <w:r>
        <w:rPr>
          <w:rFonts w:hint="eastAsia" w:ascii="宋体" w:hAnsi="宋体" w:eastAsia="宋体" w:cs="宋体"/>
          <w:color w:val="000000" w:themeColor="text1"/>
          <w:sz w:val="24"/>
          <w:szCs w:val="24"/>
          <w:highlight w:val="none"/>
          <w:lang w:val="zh-CN"/>
          <w14:textFill>
            <w14:solidFill>
              <w14:schemeClr w14:val="tx1"/>
            </w14:solidFill>
          </w14:textFill>
        </w:rPr>
        <w:t>⑬</w:t>
      </w:r>
      <w:bookmarkEnd w:id="11"/>
      <w:bookmarkEnd w:id="12"/>
      <w:r>
        <w:rPr>
          <w:rFonts w:hint="eastAsia" w:ascii="宋体" w:hAnsi="宋体" w:eastAsia="宋体" w:cs="宋体"/>
          <w:color w:val="000000" w:themeColor="text1"/>
          <w:sz w:val="24"/>
          <w:szCs w:val="24"/>
          <w:highlight w:val="none"/>
          <w:lang w:val="zh-CN"/>
          <w14:textFill>
            <w14:solidFill>
              <w14:schemeClr w14:val="tx1"/>
            </w14:solidFill>
          </w14:textFill>
        </w:rPr>
        <w:t>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保安人员年龄上限为</w:t>
      </w:r>
      <w:r>
        <w:rPr>
          <w:rFonts w:hint="eastAsia" w:ascii="宋体" w:hAnsi="宋体" w:eastAsia="宋体" w:cs="宋体"/>
          <w:color w:val="000000" w:themeColor="text1"/>
          <w:sz w:val="24"/>
          <w:szCs w:val="24"/>
          <w:highlight w:val="none"/>
          <w:lang w:val="en-US" w:eastAsia="zh-CN"/>
          <w14:textFill>
            <w14:solidFill>
              <w14:schemeClr w14:val="tx1"/>
            </w14:solidFill>
          </w14:textFill>
        </w:rPr>
        <w:t>60</w:t>
      </w:r>
      <w:r>
        <w:rPr>
          <w:rFonts w:hint="eastAsia" w:ascii="宋体" w:hAnsi="宋体" w:eastAsia="宋体" w:cs="宋体"/>
          <w:color w:val="000000" w:themeColor="text1"/>
          <w:sz w:val="24"/>
          <w:szCs w:val="24"/>
          <w:highlight w:val="none"/>
          <w:lang w:val="zh-CN"/>
          <w14:textFill>
            <w14:solidFill>
              <w14:schemeClr w14:val="tx1"/>
            </w14:solidFill>
          </w14:textFill>
        </w:rPr>
        <w:t>岁，</w:t>
      </w:r>
      <w:r>
        <w:rPr>
          <w:rFonts w:hint="eastAsia" w:ascii="宋体" w:hAnsi="宋体" w:eastAsia="宋体" w:cs="宋体"/>
          <w:color w:val="000000" w:themeColor="text1"/>
          <w:sz w:val="24"/>
          <w:szCs w:val="24"/>
          <w:highlight w:val="none"/>
          <w:lang w:val="en-US" w:eastAsia="zh-CN"/>
          <w14:textFill>
            <w14:solidFill>
              <w14:schemeClr w14:val="tx1"/>
            </w14:solidFill>
          </w14:textFill>
        </w:rPr>
        <w:t>初中及以上文化，身高165厘米及以上</w:t>
      </w:r>
      <w:r>
        <w:rPr>
          <w:rFonts w:hint="eastAsia" w:ascii="宋体" w:hAnsi="宋体" w:eastAsia="宋体" w:cs="宋体"/>
          <w:color w:val="000000" w:themeColor="text1"/>
          <w:sz w:val="24"/>
          <w:szCs w:val="24"/>
          <w:highlight w:val="none"/>
          <w:lang w:val="zh-CN"/>
          <w14:textFill>
            <w14:solidFill>
              <w14:schemeClr w14:val="tx1"/>
            </w14:solidFill>
          </w14:textFill>
        </w:rPr>
        <w:t>。</w:t>
      </w:r>
    </w:p>
    <w:p>
      <w:pPr>
        <w:pStyle w:val="8"/>
        <w:ind w:firstLine="480"/>
        <w:rPr>
          <w:color w:val="000000" w:themeColor="text1"/>
          <w:highlight w:val="none"/>
          <w:lang w:val="zh-CN"/>
          <w14:textFill>
            <w14:solidFill>
              <w14:schemeClr w14:val="tx1"/>
            </w14:solidFill>
          </w14:textFill>
        </w:rPr>
      </w:pPr>
    </w:p>
    <w:p>
      <w:pPr>
        <w:pStyle w:val="44"/>
        <w:snapToGrid w:val="0"/>
        <w:spacing w:line="360" w:lineRule="auto"/>
        <w:ind w:firstLine="480" w:firstLineChars="200"/>
        <w:rPr>
          <w:rStyle w:val="113"/>
          <w:rFonts w:hint="eastAsia" w:ascii="宋体" w:hAnsi="宋体" w:eastAsia="宋体" w:cs="宋体"/>
          <w:b/>
          <w:bCs/>
          <w:color w:val="000000" w:themeColor="text1"/>
          <w:sz w:val="24"/>
          <w:szCs w:val="24"/>
          <w:highlight w:val="none"/>
          <w14:textFill>
            <w14:solidFill>
              <w14:schemeClr w14:val="tx1"/>
            </w14:solidFill>
          </w14:textFill>
        </w:rPr>
      </w:pPr>
      <w:r>
        <w:rPr>
          <w:rFonts w:hint="eastAsia" w:hAnsi="宋体" w:eastAsia="宋体" w:cs="宋体"/>
          <w:b/>
          <w:bCs w:val="0"/>
          <w:color w:val="000000" w:themeColor="text1"/>
          <w:sz w:val="24"/>
          <w:szCs w:val="24"/>
          <w:highlight w:val="none"/>
          <w:lang w:val="en-US" w:eastAsia="zh-CN"/>
          <w14:textFill>
            <w14:solidFill>
              <w14:schemeClr w14:val="tx1"/>
            </w14:solidFill>
          </w14:textFill>
        </w:rPr>
        <w:t>3、</w:t>
      </w:r>
      <w:r>
        <w:rPr>
          <w:rFonts w:hint="eastAsia" w:hAnsi="宋体" w:eastAsia="宋体" w:cs="宋体"/>
          <w:b/>
          <w:bCs w:val="0"/>
          <w:color w:val="000000" w:themeColor="text1"/>
          <w:sz w:val="24"/>
          <w:szCs w:val="24"/>
          <w:highlight w:val="none"/>
          <w:lang w:eastAsia="zh-CN"/>
          <w14:textFill>
            <w14:solidFill>
              <w14:schemeClr w14:val="tx1"/>
            </w14:solidFill>
          </w14:textFill>
        </w:rPr>
        <w:t>项目</w:t>
      </w:r>
      <w:r>
        <w:rPr>
          <w:rFonts w:hint="eastAsia" w:hAnsi="宋体" w:eastAsia="宋体" w:cs="宋体"/>
          <w:b/>
          <w:bCs w:val="0"/>
          <w:color w:val="000000" w:themeColor="text1"/>
          <w:sz w:val="24"/>
          <w:szCs w:val="24"/>
          <w:highlight w:val="none"/>
          <w:lang w:val="en-US" w:eastAsia="zh-CN"/>
          <w14:textFill>
            <w14:solidFill>
              <w14:schemeClr w14:val="tx1"/>
            </w14:solidFill>
          </w14:textFill>
        </w:rPr>
        <w:t>品名：四川东辰仙海物业服务有限公司</w:t>
      </w:r>
      <w:r>
        <w:rPr>
          <w:rStyle w:val="113"/>
          <w:rFonts w:hint="eastAsia" w:ascii="宋体" w:hAnsi="宋体" w:eastAsia="宋体" w:cs="宋体"/>
          <w:b/>
          <w:bCs/>
          <w:color w:val="000000" w:themeColor="text1"/>
          <w:sz w:val="24"/>
          <w:szCs w:val="24"/>
          <w:highlight w:val="none"/>
          <w14:textFill>
            <w14:solidFill>
              <w14:schemeClr w14:val="tx1"/>
            </w14:solidFill>
          </w14:textFill>
        </w:rPr>
        <w:t>-保安服务</w:t>
      </w:r>
    </w:p>
    <w:p>
      <w:pPr>
        <w:tabs>
          <w:tab w:val="left" w:pos="7740"/>
        </w:tabs>
        <w:spacing w:line="240" w:lineRule="auto"/>
        <w:ind w:firstLine="480" w:firstLineChars="200"/>
        <w:rPr>
          <w:rFonts w:hint="default"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1、</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物业地址：</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东辰.仙海院子：绵阳市游仙区沉抗镇香锦路6号</w:t>
      </w:r>
    </w:p>
    <w:p>
      <w:pPr>
        <w:tabs>
          <w:tab w:val="left" w:pos="7740"/>
        </w:tabs>
        <w:spacing w:before="156" w:beforeLines="50" w:after="156" w:afterLines="50" w:line="440" w:lineRule="exact"/>
        <w:ind w:firstLine="480"/>
        <w:rPr>
          <w:rFonts w:hint="default"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服务面积：</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9万平方左右</w:t>
      </w:r>
    </w:p>
    <w:p>
      <w:pPr>
        <w:tabs>
          <w:tab w:val="left" w:pos="7740"/>
        </w:tabs>
        <w:spacing w:before="156" w:beforeLines="50" w:after="156" w:afterLines="50" w:line="440" w:lineRule="exact"/>
        <w:ind w:firstLine="480"/>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服务内容</w:t>
      </w:r>
      <w:r>
        <w:rPr>
          <w:rFonts w:hint="eastAsia" w:ascii="宋体" w:hAnsi="宋体" w:eastAsia="宋体" w:cs="宋体"/>
          <w:color w:val="000000" w:themeColor="text1"/>
          <w:sz w:val="24"/>
          <w:szCs w:val="24"/>
          <w:highlight w:val="none"/>
          <w:lang w:val="zh-CN" w:eastAsia="zh-CN"/>
          <w14:textFill>
            <w14:solidFill>
              <w14:schemeClr w14:val="tx1"/>
            </w14:solidFill>
          </w14:textFill>
        </w:rPr>
        <w:t>及标准</w:t>
      </w:r>
      <w:r>
        <w:rPr>
          <w:rFonts w:hint="eastAsia" w:ascii="宋体" w:hAnsi="宋体" w:eastAsia="宋体" w:cs="宋体"/>
          <w:color w:val="000000" w:themeColor="text1"/>
          <w:sz w:val="24"/>
          <w:szCs w:val="24"/>
          <w:highlight w:val="none"/>
          <w:lang w:val="zh-CN"/>
          <w14:textFill>
            <w14:solidFill>
              <w14:schemeClr w14:val="tx1"/>
            </w14:solidFill>
          </w14:textFill>
        </w:rPr>
        <w:t>：</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① </w:t>
      </w:r>
      <w:r>
        <w:rPr>
          <w:rFonts w:hint="eastAsia" w:ascii="宋体" w:hAnsi="宋体" w:eastAsia="宋体" w:cs="宋体"/>
          <w:color w:val="000000" w:themeColor="text1"/>
          <w:sz w:val="24"/>
          <w:szCs w:val="24"/>
          <w:highlight w:val="none"/>
          <w:lang w:val="zh-CN"/>
          <w14:textFill>
            <w14:solidFill>
              <w14:schemeClr w14:val="tx1"/>
            </w14:solidFill>
          </w14:textFill>
        </w:rPr>
        <w:t>包括但不限于本项目符合</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要求的巡逻和消防及安全监控， 维护本项目和商场外围的秩序， 保障项目内所有财产及人身的安全。若因乙方保安人员未正常履职或故意行为造成项目内业主或商家财产损失或人身伤害的由乙方承担相应的赔偿责任。</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② </w:t>
      </w:r>
      <w:r>
        <w:rPr>
          <w:rFonts w:hint="eastAsia" w:ascii="宋体" w:hAnsi="宋体" w:eastAsia="宋体" w:cs="宋体"/>
          <w:color w:val="000000" w:themeColor="text1"/>
          <w:sz w:val="24"/>
          <w:szCs w:val="24"/>
          <w:highlight w:val="none"/>
          <w:lang w:val="zh-CN"/>
          <w14:textFill>
            <w14:solidFill>
              <w14:schemeClr w14:val="tx1"/>
            </w14:solidFill>
          </w14:textFill>
        </w:rPr>
        <w:t>本项目所有岗位物品及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移交之物品，乙方负有保管义务，移交的物品有遗失或损坏，乙方应承担相应的责任及赔偿。</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③ </w:t>
      </w:r>
      <w:r>
        <w:rPr>
          <w:rFonts w:hint="eastAsia" w:ascii="宋体" w:hAnsi="宋体" w:eastAsia="宋体" w:cs="宋体"/>
          <w:color w:val="000000" w:themeColor="text1"/>
          <w:sz w:val="24"/>
          <w:szCs w:val="24"/>
          <w:highlight w:val="none"/>
          <w:lang w:val="zh-CN"/>
          <w14:textFill>
            <w14:solidFill>
              <w14:schemeClr w14:val="tx1"/>
            </w14:solidFill>
          </w14:textFill>
        </w:rPr>
        <w:t>本项目区域的治安管理：</w:t>
      </w:r>
      <w:r>
        <w:rPr>
          <w:rFonts w:hint="eastAsia" w:ascii="宋体" w:hAnsi="宋体" w:eastAsia="宋体" w:cs="宋体"/>
          <w:color w:val="000000" w:themeColor="text1"/>
          <w:sz w:val="24"/>
          <w:szCs w:val="24"/>
          <w:highlight w:val="none"/>
          <w:lang w:val="zh-CN" w:eastAsia="zh-CN"/>
          <w14:textFill>
            <w14:solidFill>
              <w14:schemeClr w14:val="tx1"/>
            </w14:solidFill>
          </w14:textFill>
        </w:rPr>
        <w:t>外围</w:t>
      </w:r>
      <w:r>
        <w:rPr>
          <w:rFonts w:hint="eastAsia" w:ascii="宋体" w:hAnsi="宋体" w:eastAsia="宋体" w:cs="宋体"/>
          <w:color w:val="000000" w:themeColor="text1"/>
          <w:sz w:val="24"/>
          <w:szCs w:val="24"/>
          <w:highlight w:val="none"/>
          <w:lang w:val="zh-CN"/>
          <w14:textFill>
            <w14:solidFill>
              <w14:schemeClr w14:val="tx1"/>
            </w14:solidFill>
          </w14:textFill>
        </w:rPr>
        <w:t>公共区域、停车场、</w:t>
      </w:r>
      <w:r>
        <w:rPr>
          <w:rFonts w:hint="eastAsia" w:ascii="宋体" w:hAnsi="宋体" w:eastAsia="宋体" w:cs="宋体"/>
          <w:color w:val="000000" w:themeColor="text1"/>
          <w:sz w:val="24"/>
          <w:szCs w:val="24"/>
          <w:highlight w:val="none"/>
          <w:lang w:val="zh-CN" w:eastAsia="zh-CN"/>
          <w14:textFill>
            <w14:solidFill>
              <w14:schemeClr w14:val="tx1"/>
            </w14:solidFill>
          </w14:textFill>
        </w:rPr>
        <w:t>临街商业、地下室、</w:t>
      </w:r>
      <w:r>
        <w:rPr>
          <w:rFonts w:hint="eastAsia" w:ascii="宋体" w:hAnsi="宋体" w:eastAsia="宋体" w:cs="宋体"/>
          <w:color w:val="000000" w:themeColor="text1"/>
          <w:sz w:val="24"/>
          <w:szCs w:val="24"/>
          <w:highlight w:val="none"/>
          <w:lang w:val="zh-CN"/>
          <w14:textFill>
            <w14:solidFill>
              <w14:schemeClr w14:val="tx1"/>
            </w14:solidFill>
          </w14:textFill>
        </w:rPr>
        <w:t>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④ </w:t>
      </w:r>
      <w:r>
        <w:rPr>
          <w:rFonts w:hint="eastAsia" w:ascii="宋体" w:hAnsi="宋体" w:eastAsia="宋体" w:cs="宋体"/>
          <w:color w:val="000000" w:themeColor="text1"/>
          <w:sz w:val="24"/>
          <w:szCs w:val="24"/>
          <w:highlight w:val="none"/>
          <w:lang w:val="zh-CN"/>
          <w14:textFill>
            <w14:solidFill>
              <w14:schemeClr w14:val="tx1"/>
            </w14:solidFill>
          </w14:textFill>
        </w:rPr>
        <w:t>消防管理：熟悉消防设备设施、掌握各种消防器材使用方法，按照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的消防管理标准，做好应急预案，并按照执行。做好每月消防月检查记录，并做好书面纸质登记，按月交甲方存档。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⑤ </w:t>
      </w:r>
      <w:r>
        <w:rPr>
          <w:rFonts w:hint="eastAsia" w:ascii="宋体" w:hAnsi="宋体" w:eastAsia="宋体" w:cs="宋体"/>
          <w:color w:val="000000" w:themeColor="text1"/>
          <w:sz w:val="24"/>
          <w:szCs w:val="24"/>
          <w:highlight w:val="none"/>
          <w:lang w:val="zh-CN"/>
          <w14:textFill>
            <w14:solidFill>
              <w14:schemeClr w14:val="tx1"/>
            </w14:solidFill>
          </w14:textFill>
        </w:rPr>
        <w:t>车辆管理：熟练掌握本项目车辆进出操作流程，疏导及指引车辆，</w:t>
      </w:r>
      <w:r>
        <w:rPr>
          <w:rFonts w:hint="eastAsia" w:ascii="宋体" w:hAnsi="宋体" w:eastAsia="宋体" w:cs="宋体"/>
          <w:color w:val="000000" w:themeColor="text1"/>
          <w:sz w:val="24"/>
          <w:szCs w:val="24"/>
          <w:highlight w:val="none"/>
          <w:lang w:val="zh-CN" w:eastAsia="zh-CN"/>
          <w14:textFill>
            <w14:solidFill>
              <w14:schemeClr w14:val="tx1"/>
            </w14:solidFill>
          </w14:textFill>
        </w:rPr>
        <w:t>严防电瓶车乱拉线充电，并要求商家及外来车辆到指定区域充电；</w:t>
      </w:r>
      <w:r>
        <w:rPr>
          <w:rFonts w:hint="eastAsia" w:ascii="宋体" w:hAnsi="宋体" w:eastAsia="宋体" w:cs="宋体"/>
          <w:color w:val="000000" w:themeColor="text1"/>
          <w:sz w:val="24"/>
          <w:szCs w:val="24"/>
          <w:highlight w:val="none"/>
          <w:lang w:val="zh-CN"/>
          <w14:textFill>
            <w14:solidFill>
              <w14:schemeClr w14:val="tx1"/>
            </w14:solidFill>
          </w14:textFill>
        </w:rPr>
        <w:t>以保障本</w:t>
      </w:r>
      <w:r>
        <w:rPr>
          <w:rFonts w:hint="eastAsia" w:ascii="宋体" w:hAnsi="宋体" w:eastAsia="宋体" w:cs="宋体"/>
          <w:color w:val="000000" w:themeColor="text1"/>
          <w:sz w:val="24"/>
          <w:szCs w:val="24"/>
          <w:highlight w:val="none"/>
          <w:lang w:val="zh-CN" w:eastAsia="zh-CN"/>
          <w14:textFill>
            <w14:solidFill>
              <w14:schemeClr w14:val="tx1"/>
            </w14:solidFill>
          </w14:textFill>
        </w:rPr>
        <w:t>区域</w:t>
      </w:r>
      <w:r>
        <w:rPr>
          <w:rFonts w:hint="eastAsia" w:ascii="宋体" w:hAnsi="宋体" w:eastAsia="宋体" w:cs="宋体"/>
          <w:color w:val="000000" w:themeColor="text1"/>
          <w:sz w:val="24"/>
          <w:szCs w:val="24"/>
          <w:highlight w:val="none"/>
          <w:lang w:val="zh-CN"/>
          <w14:textFill>
            <w14:solidFill>
              <w14:schemeClr w14:val="tx1"/>
            </w14:solidFill>
          </w14:textFill>
        </w:rPr>
        <w:t>车辆进出及停放有序，协助物业服务中心收取停车费并做好纸质登记。</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⑥ </w:t>
      </w:r>
      <w:r>
        <w:rPr>
          <w:rFonts w:hint="eastAsia" w:ascii="宋体" w:hAnsi="宋体" w:eastAsia="宋体" w:cs="宋体"/>
          <w:color w:val="000000" w:themeColor="text1"/>
          <w:sz w:val="24"/>
          <w:szCs w:val="24"/>
          <w:highlight w:val="none"/>
          <w:lang w:val="zh-CN"/>
          <w14:textFill>
            <w14:solidFill>
              <w14:schemeClr w14:val="tx1"/>
            </w14:solidFill>
          </w14:textFill>
        </w:rPr>
        <w:t>人员出入管理（外来访客及装修、施工人员、工作人员出入管理），按照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物业服务标准，文明执勤礼貌待客，并做好书面登记，按月交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⑦ </w:t>
      </w:r>
      <w:r>
        <w:rPr>
          <w:rFonts w:hint="eastAsia" w:ascii="宋体" w:hAnsi="宋体" w:eastAsia="宋体" w:cs="宋体"/>
          <w:color w:val="000000" w:themeColor="text1"/>
          <w:sz w:val="24"/>
          <w:szCs w:val="24"/>
          <w:highlight w:val="none"/>
          <w:lang w:val="zh-CN"/>
          <w14:textFill>
            <w14:solidFill>
              <w14:schemeClr w14:val="tx1"/>
            </w14:solidFill>
          </w14:textFill>
        </w:rPr>
        <w:t>物品管理（大件物品进出登记、检查、核对、汇报），禁止危险品进入本</w:t>
      </w:r>
      <w:r>
        <w:rPr>
          <w:rFonts w:hint="eastAsia" w:ascii="宋体" w:hAnsi="宋体" w:eastAsia="宋体" w:cs="宋体"/>
          <w:color w:val="000000" w:themeColor="text1"/>
          <w:sz w:val="24"/>
          <w:szCs w:val="24"/>
          <w:highlight w:val="none"/>
          <w:lang w:val="zh-CN" w:eastAsia="zh-CN"/>
          <w14:textFill>
            <w14:solidFill>
              <w14:schemeClr w14:val="tx1"/>
            </w14:solidFill>
          </w14:textFill>
        </w:rPr>
        <w:t>区域楼栋和地下室</w:t>
      </w:r>
      <w:r>
        <w:rPr>
          <w:rFonts w:hint="eastAsia" w:ascii="宋体" w:hAnsi="宋体" w:eastAsia="宋体" w:cs="宋体"/>
          <w:color w:val="000000" w:themeColor="text1"/>
          <w:sz w:val="24"/>
          <w:szCs w:val="24"/>
          <w:highlight w:val="none"/>
          <w:lang w:val="zh-CN"/>
          <w14:textFill>
            <w14:solidFill>
              <w14:schemeClr w14:val="tx1"/>
            </w14:solidFill>
          </w14:textFill>
        </w:rPr>
        <w:t>，并做好书面登记，按月交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⑧ </w:t>
      </w:r>
      <w:r>
        <w:rPr>
          <w:rFonts w:hint="eastAsia" w:ascii="宋体" w:hAnsi="宋体" w:eastAsia="宋体" w:cs="宋体"/>
          <w:color w:val="000000" w:themeColor="text1"/>
          <w:sz w:val="24"/>
          <w:szCs w:val="24"/>
          <w:highlight w:val="none"/>
          <w:lang w:val="zh-CN"/>
          <w14:textFill>
            <w14:solidFill>
              <w14:schemeClr w14:val="tx1"/>
            </w14:solidFill>
          </w14:textFill>
        </w:rPr>
        <w:t>装修管理：按照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的服务标准对装修人员、车辆、物品进出检查登记， 装修巡查、违章装修的监管，并做好书面登记，按月交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⑨ </w:t>
      </w:r>
      <w:r>
        <w:rPr>
          <w:rFonts w:hint="eastAsia" w:ascii="宋体" w:hAnsi="宋体" w:eastAsia="宋体" w:cs="宋体"/>
          <w:color w:val="000000" w:themeColor="text1"/>
          <w:sz w:val="24"/>
          <w:szCs w:val="24"/>
          <w:highlight w:val="none"/>
          <w:lang w:val="zh-CN"/>
          <w14:textFill>
            <w14:solidFill>
              <w14:schemeClr w14:val="tx1"/>
            </w14:solidFill>
          </w14:textFill>
        </w:rPr>
        <w:t>钥匙管理：严格对大门、管理用房及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移交之所有钥匙（含进出门禁卡）的管理，并做好书面登记，按月交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⑩ </w:t>
      </w:r>
      <w:r>
        <w:rPr>
          <w:rFonts w:hint="eastAsia" w:ascii="宋体" w:hAnsi="宋体" w:eastAsia="宋体" w:cs="宋体"/>
          <w:color w:val="000000" w:themeColor="text1"/>
          <w:sz w:val="24"/>
          <w:szCs w:val="24"/>
          <w:highlight w:val="none"/>
          <w:lang w:val="zh-CN"/>
          <w14:textFill>
            <w14:solidFill>
              <w14:schemeClr w14:val="tx1"/>
            </w14:solidFill>
          </w14:textFill>
        </w:rPr>
        <w:t>做好本项目的巡逻、检查工作及各类安全隐患的预防性管控，并做好书面登记，按月交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⑪</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zh-CN"/>
          <w14:textFill>
            <w14:solidFill>
              <w14:schemeClr w14:val="tx1"/>
            </w14:solidFill>
          </w14:textFill>
        </w:rPr>
        <w:t>紧急事件处理（现场控制、急救、通知相关部门及采取措施防止事态扩大等），并做好书面登记，按月交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⑫</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zh-CN"/>
          <w14:textFill>
            <w14:solidFill>
              <w14:schemeClr w14:val="tx1"/>
            </w14:solidFill>
          </w14:textFill>
        </w:rPr>
        <w:t>本项目所有设备房、空置房、室外所有设施设备、所有岗位物品及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移交之物品，乙方负有保管义务，如上述设施设备财产有遗失或损坏，乙方应承担相应的责任及赔偿，并履行相关临时性配合工作及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合理的服务要求。</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⑬</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招标人</w:t>
      </w:r>
      <w:r>
        <w:rPr>
          <w:rFonts w:hint="eastAsia" w:ascii="宋体" w:hAnsi="宋体" w:eastAsia="宋体" w:cs="宋体"/>
          <w:color w:val="000000" w:themeColor="text1"/>
          <w:sz w:val="24"/>
          <w:szCs w:val="24"/>
          <w:highlight w:val="none"/>
          <w:lang w:val="zh-CN"/>
          <w14:textFill>
            <w14:solidFill>
              <w14:schemeClr w14:val="tx1"/>
            </w14:solidFill>
          </w14:textFill>
        </w:rPr>
        <w:t>要求配合的其他与工作相关的合法事宜：</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a.</w:t>
      </w:r>
      <w:r>
        <w:rPr>
          <w:rFonts w:hint="eastAsia" w:ascii="宋体" w:hAnsi="宋体" w:eastAsia="宋体" w:cs="宋体"/>
          <w:color w:val="000000" w:themeColor="text1"/>
          <w:sz w:val="24"/>
          <w:szCs w:val="24"/>
          <w:highlight w:val="none"/>
          <w:lang w:val="zh-CN"/>
          <w14:textFill>
            <w14:solidFill>
              <w14:schemeClr w14:val="tx1"/>
            </w14:solidFill>
          </w14:textFill>
        </w:rPr>
        <w:t>每周对所有队员进行队列训练一次；</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b.</w:t>
      </w:r>
      <w:r>
        <w:rPr>
          <w:rFonts w:hint="eastAsia" w:ascii="宋体" w:hAnsi="宋体" w:eastAsia="宋体" w:cs="宋体"/>
          <w:color w:val="000000" w:themeColor="text1"/>
          <w:sz w:val="24"/>
          <w:szCs w:val="24"/>
          <w:highlight w:val="none"/>
          <w:lang w:val="zh-CN"/>
          <w14:textFill>
            <w14:solidFill>
              <w14:schemeClr w14:val="tx1"/>
            </w14:solidFill>
          </w14:textFill>
        </w:rPr>
        <w:t>每六个月进行一次消防应急演练；</w:t>
      </w:r>
    </w:p>
    <w:p>
      <w:pPr>
        <w:pStyle w:val="7"/>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C.重点部位1小时巡逻1次；</w:t>
      </w:r>
    </w:p>
    <w:p>
      <w:pPr>
        <w:pStyle w:val="8"/>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d.合院门岗白班12小时站岗服务，洋房分时段站岗服务。</w:t>
      </w:r>
    </w:p>
    <w:p>
      <w:pPr>
        <w:pStyle w:val="7"/>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w:t>
      </w:r>
      <w:r>
        <w:rPr>
          <w:rFonts w:hint="eastAsia" w:ascii="宋体" w:hAnsi="宋体" w:eastAsia="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lang w:val="zh-CN" w:eastAsia="zh-CN"/>
          <w14:textFill>
            <w14:solidFill>
              <w14:schemeClr w14:val="tx1"/>
            </w14:solidFill>
          </w14:textFill>
        </w:rPr>
        <w:t>保安人员年龄上限为60岁，</w:t>
      </w:r>
      <w:r>
        <w:rPr>
          <w:rFonts w:hint="eastAsia" w:ascii="宋体" w:hAnsi="宋体" w:eastAsia="宋体" w:cs="宋体"/>
          <w:color w:val="000000" w:themeColor="text1"/>
          <w:sz w:val="24"/>
          <w:szCs w:val="24"/>
          <w:highlight w:val="none"/>
          <w:lang w:val="en-US" w:eastAsia="zh-CN"/>
          <w14:textFill>
            <w14:solidFill>
              <w14:schemeClr w14:val="tx1"/>
            </w14:solidFill>
          </w14:textFill>
        </w:rPr>
        <w:t>初中及以上文化，身高165厘米及以上；礼仪保安年龄上限50岁，高中及以上文化，身高170厘米及以上；消控室值班人员必须持有应急管理部门颁发的中级消防设施操作员证。</w:t>
      </w:r>
    </w:p>
    <w:p>
      <w:pPr>
        <w:pStyle w:val="44"/>
        <w:snapToGrid w:val="0"/>
        <w:spacing w:line="360" w:lineRule="auto"/>
        <w:ind w:firstLine="480" w:firstLineChars="200"/>
        <w:rPr>
          <w:rStyle w:val="113"/>
          <w:rFonts w:hint="eastAsia" w:ascii="宋体" w:hAnsi="宋体" w:eastAsia="宋体" w:cs="宋体"/>
          <w:b/>
          <w:bCs/>
          <w:color w:val="000000" w:themeColor="text1"/>
          <w:sz w:val="24"/>
          <w:szCs w:val="24"/>
          <w:highlight w:val="none"/>
          <w14:textFill>
            <w14:solidFill>
              <w14:schemeClr w14:val="tx1"/>
            </w14:solidFill>
          </w14:textFill>
        </w:rPr>
      </w:pPr>
      <w:r>
        <w:rPr>
          <w:rFonts w:hint="eastAsia" w:hAnsi="宋体" w:eastAsia="宋体" w:cs="宋体"/>
          <w:b/>
          <w:bCs w:val="0"/>
          <w:color w:val="000000" w:themeColor="text1"/>
          <w:sz w:val="24"/>
          <w:szCs w:val="24"/>
          <w:highlight w:val="none"/>
          <w:lang w:val="en-US" w:eastAsia="zh-CN"/>
          <w14:textFill>
            <w14:solidFill>
              <w14:schemeClr w14:val="tx1"/>
            </w14:solidFill>
          </w14:textFill>
        </w:rPr>
        <w:t>4、</w:t>
      </w:r>
      <w:r>
        <w:rPr>
          <w:rFonts w:hint="eastAsia" w:hAnsi="宋体" w:eastAsia="宋体" w:cs="宋体"/>
          <w:b/>
          <w:bCs w:val="0"/>
          <w:color w:val="000000" w:themeColor="text1"/>
          <w:sz w:val="24"/>
          <w:szCs w:val="24"/>
          <w:highlight w:val="none"/>
          <w:lang w:eastAsia="zh-CN"/>
          <w14:textFill>
            <w14:solidFill>
              <w14:schemeClr w14:val="tx1"/>
            </w14:solidFill>
          </w14:textFill>
        </w:rPr>
        <w:t>项目</w:t>
      </w:r>
      <w:r>
        <w:rPr>
          <w:rFonts w:hint="eastAsia" w:hAnsi="宋体" w:eastAsia="宋体" w:cs="宋体"/>
          <w:b/>
          <w:bCs w:val="0"/>
          <w:color w:val="000000" w:themeColor="text1"/>
          <w:sz w:val="24"/>
          <w:szCs w:val="24"/>
          <w:highlight w:val="none"/>
          <w:lang w:val="en-US" w:eastAsia="zh-CN"/>
          <w14:textFill>
            <w14:solidFill>
              <w14:schemeClr w14:val="tx1"/>
            </w14:solidFill>
          </w14:textFill>
        </w:rPr>
        <w:t>品名：四川辰悦联家物业服务有限公司</w:t>
      </w:r>
      <w:r>
        <w:rPr>
          <w:rStyle w:val="113"/>
          <w:rFonts w:hint="eastAsia" w:ascii="宋体" w:hAnsi="宋体" w:eastAsia="宋体" w:cs="宋体"/>
          <w:b/>
          <w:bCs/>
          <w:color w:val="000000" w:themeColor="text1"/>
          <w:sz w:val="24"/>
          <w:szCs w:val="24"/>
          <w:highlight w:val="none"/>
          <w14:textFill>
            <w14:solidFill>
              <w14:schemeClr w14:val="tx1"/>
            </w14:solidFill>
          </w14:textFill>
        </w:rPr>
        <w:t>-保安服务</w:t>
      </w:r>
    </w:p>
    <w:p>
      <w:pPr>
        <w:tabs>
          <w:tab w:val="left" w:pos="7740"/>
        </w:tabs>
        <w:spacing w:line="240" w:lineRule="auto"/>
        <w:ind w:firstLine="480" w:firstLineChars="200"/>
        <w:rPr>
          <w:rFonts w:hint="default"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1、</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物业地址：</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东润.书院名家：四川省梓潼县文昌镇迎宾路700号</w:t>
      </w:r>
    </w:p>
    <w:p>
      <w:pPr>
        <w:tabs>
          <w:tab w:val="left" w:pos="7740"/>
        </w:tabs>
        <w:spacing w:before="156" w:beforeLines="50" w:after="156" w:afterLines="50" w:line="440" w:lineRule="exact"/>
        <w:ind w:firstLine="480"/>
        <w:rPr>
          <w:rFonts w:hint="default"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lang w:bidi="ar"/>
          <w14:textFill>
            <w14:solidFill>
              <w14:schemeClr w14:val="tx1"/>
            </w14:solidFill>
          </w14:textFill>
        </w:rPr>
        <w:t>2、</w:t>
      </w:r>
      <w:r>
        <w:rPr>
          <w:rFonts w:hint="eastAsia" w:asciiTheme="minorEastAsia" w:hAnsiTheme="minorEastAsia" w:eastAsiaTheme="minorEastAsia" w:cstheme="minorEastAsia"/>
          <w:color w:val="000000" w:themeColor="text1"/>
          <w:sz w:val="24"/>
          <w:szCs w:val="24"/>
          <w:highlight w:val="none"/>
          <w:lang w:val="zh-CN" w:bidi="ar"/>
          <w14:textFill>
            <w14:solidFill>
              <w14:schemeClr w14:val="tx1"/>
            </w14:solidFill>
          </w14:textFill>
        </w:rPr>
        <w:t>服务面积：</w:t>
      </w:r>
      <w:r>
        <w:rPr>
          <w:rFonts w:hint="eastAsia" w:asciiTheme="minorEastAsia" w:hAnsiTheme="minorEastAsia" w:eastAsiaTheme="minorEastAsia" w:cstheme="minorEastAsia"/>
          <w:color w:val="000000" w:themeColor="text1"/>
          <w:sz w:val="24"/>
          <w:szCs w:val="24"/>
          <w:highlight w:val="none"/>
          <w:lang w:val="en-US" w:eastAsia="zh-CN" w:bidi="ar"/>
          <w14:textFill>
            <w14:solidFill>
              <w14:schemeClr w14:val="tx1"/>
            </w14:solidFill>
          </w14:textFill>
        </w:rPr>
        <w:t>12万平方左右</w:t>
      </w:r>
    </w:p>
    <w:p>
      <w:pPr>
        <w:tabs>
          <w:tab w:val="left" w:pos="7740"/>
        </w:tabs>
        <w:spacing w:before="156" w:beforeLines="50" w:after="156" w:afterLines="50" w:line="440" w:lineRule="exact"/>
        <w:ind w:firstLine="480"/>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服务内容</w:t>
      </w:r>
      <w:r>
        <w:rPr>
          <w:rFonts w:hint="eastAsia" w:ascii="宋体" w:hAnsi="宋体" w:eastAsia="宋体" w:cs="宋体"/>
          <w:color w:val="000000" w:themeColor="text1"/>
          <w:sz w:val="24"/>
          <w:szCs w:val="24"/>
          <w:highlight w:val="none"/>
          <w:lang w:val="zh-CN" w:eastAsia="zh-CN"/>
          <w14:textFill>
            <w14:solidFill>
              <w14:schemeClr w14:val="tx1"/>
            </w14:solidFill>
          </w14:textFill>
        </w:rPr>
        <w:t>及标准</w:t>
      </w:r>
      <w:r>
        <w:rPr>
          <w:rFonts w:hint="eastAsia" w:ascii="宋体" w:hAnsi="宋体" w:eastAsia="宋体" w:cs="宋体"/>
          <w:color w:val="000000" w:themeColor="text1"/>
          <w:sz w:val="24"/>
          <w:szCs w:val="24"/>
          <w:highlight w:val="none"/>
          <w:lang w:val="zh-CN"/>
          <w14:textFill>
            <w14:solidFill>
              <w14:schemeClr w14:val="tx1"/>
            </w14:solidFill>
          </w14:textFill>
        </w:rPr>
        <w:t>：</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① </w:t>
      </w:r>
      <w:r>
        <w:rPr>
          <w:rFonts w:hint="eastAsia" w:ascii="宋体" w:hAnsi="宋体" w:eastAsia="宋体" w:cs="宋体"/>
          <w:color w:val="000000" w:themeColor="text1"/>
          <w:sz w:val="24"/>
          <w:szCs w:val="24"/>
          <w:highlight w:val="none"/>
          <w:lang w:val="zh-CN"/>
          <w14:textFill>
            <w14:solidFill>
              <w14:schemeClr w14:val="tx1"/>
            </w14:solidFill>
          </w14:textFill>
        </w:rPr>
        <w:t>包括但不限于本项目符合</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要求的巡逻和消防及安全监控， 维护本项目和商场外围的秩序， 保障项目内所有财产及人身的安全。若因乙方保安人员未正常履职或故意行为造成项目内业主或商家财产损失或人身伤害的由乙方承担相应的赔偿责任。</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② </w:t>
      </w:r>
      <w:r>
        <w:rPr>
          <w:rFonts w:hint="eastAsia" w:ascii="宋体" w:hAnsi="宋体" w:eastAsia="宋体" w:cs="宋体"/>
          <w:color w:val="000000" w:themeColor="text1"/>
          <w:sz w:val="24"/>
          <w:szCs w:val="24"/>
          <w:highlight w:val="none"/>
          <w:lang w:val="zh-CN"/>
          <w14:textFill>
            <w14:solidFill>
              <w14:schemeClr w14:val="tx1"/>
            </w14:solidFill>
          </w14:textFill>
        </w:rPr>
        <w:t>本项目所有岗位物品及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移交之物品，乙方负有保管义务，移交的物品有遗失或损坏，乙方应承担相应的责任及赔偿。</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③ </w:t>
      </w:r>
      <w:r>
        <w:rPr>
          <w:rFonts w:hint="eastAsia" w:ascii="宋体" w:hAnsi="宋体" w:eastAsia="宋体" w:cs="宋体"/>
          <w:color w:val="000000" w:themeColor="text1"/>
          <w:sz w:val="24"/>
          <w:szCs w:val="24"/>
          <w:highlight w:val="none"/>
          <w:lang w:val="zh-CN"/>
          <w14:textFill>
            <w14:solidFill>
              <w14:schemeClr w14:val="tx1"/>
            </w14:solidFill>
          </w14:textFill>
        </w:rPr>
        <w:t>本项目区域的治安管理：</w:t>
      </w:r>
      <w:r>
        <w:rPr>
          <w:rFonts w:hint="eastAsia" w:ascii="宋体" w:hAnsi="宋体" w:eastAsia="宋体" w:cs="宋体"/>
          <w:color w:val="000000" w:themeColor="text1"/>
          <w:sz w:val="24"/>
          <w:szCs w:val="24"/>
          <w:highlight w:val="none"/>
          <w:lang w:val="zh-CN" w:eastAsia="zh-CN"/>
          <w14:textFill>
            <w14:solidFill>
              <w14:schemeClr w14:val="tx1"/>
            </w14:solidFill>
          </w14:textFill>
        </w:rPr>
        <w:t>外围</w:t>
      </w:r>
      <w:r>
        <w:rPr>
          <w:rFonts w:hint="eastAsia" w:ascii="宋体" w:hAnsi="宋体" w:eastAsia="宋体" w:cs="宋体"/>
          <w:color w:val="000000" w:themeColor="text1"/>
          <w:sz w:val="24"/>
          <w:szCs w:val="24"/>
          <w:highlight w:val="none"/>
          <w:lang w:val="zh-CN"/>
          <w14:textFill>
            <w14:solidFill>
              <w14:schemeClr w14:val="tx1"/>
            </w14:solidFill>
          </w14:textFill>
        </w:rPr>
        <w:t>公共区域、停车场、</w:t>
      </w:r>
      <w:r>
        <w:rPr>
          <w:rFonts w:hint="eastAsia" w:ascii="宋体" w:hAnsi="宋体" w:eastAsia="宋体" w:cs="宋体"/>
          <w:color w:val="000000" w:themeColor="text1"/>
          <w:sz w:val="24"/>
          <w:szCs w:val="24"/>
          <w:highlight w:val="none"/>
          <w:lang w:val="zh-CN" w:eastAsia="zh-CN"/>
          <w14:textFill>
            <w14:solidFill>
              <w14:schemeClr w14:val="tx1"/>
            </w14:solidFill>
          </w14:textFill>
        </w:rPr>
        <w:t>临街商业、地下室、</w:t>
      </w:r>
      <w:r>
        <w:rPr>
          <w:rFonts w:hint="eastAsia" w:ascii="宋体" w:hAnsi="宋体" w:eastAsia="宋体" w:cs="宋体"/>
          <w:color w:val="000000" w:themeColor="text1"/>
          <w:sz w:val="24"/>
          <w:szCs w:val="24"/>
          <w:highlight w:val="none"/>
          <w:lang w:val="zh-CN"/>
          <w14:textFill>
            <w14:solidFill>
              <w14:schemeClr w14:val="tx1"/>
            </w14:solidFill>
          </w14:textFill>
        </w:rPr>
        <w:t>消防通道、安全监控，维护本小区范围内秩序、负责服务区域财产安全、物品出入管理；熟练掌握并熟练应用消防系统、视频监控系统、车辆刷卡管理系统、门禁及可视对讲系统以及巡更系统等各类设备设施。</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④ </w:t>
      </w:r>
      <w:r>
        <w:rPr>
          <w:rFonts w:hint="eastAsia" w:ascii="宋体" w:hAnsi="宋体" w:eastAsia="宋体" w:cs="宋体"/>
          <w:color w:val="000000" w:themeColor="text1"/>
          <w:sz w:val="24"/>
          <w:szCs w:val="24"/>
          <w:highlight w:val="none"/>
          <w:lang w:val="zh-CN"/>
          <w14:textFill>
            <w14:solidFill>
              <w14:schemeClr w14:val="tx1"/>
            </w14:solidFill>
          </w14:textFill>
        </w:rPr>
        <w:t>消防管理：熟悉消防设备设施、掌握各种消防器材使用方法，按照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的消防管理标准，做好应急预案，并按照执行。做好每月消防月检查记录，并做好书面纸质登记，按月交甲方存档。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⑤ </w:t>
      </w:r>
      <w:r>
        <w:rPr>
          <w:rFonts w:hint="eastAsia" w:ascii="宋体" w:hAnsi="宋体" w:eastAsia="宋体" w:cs="宋体"/>
          <w:color w:val="000000" w:themeColor="text1"/>
          <w:sz w:val="24"/>
          <w:szCs w:val="24"/>
          <w:highlight w:val="none"/>
          <w:lang w:val="zh-CN"/>
          <w14:textFill>
            <w14:solidFill>
              <w14:schemeClr w14:val="tx1"/>
            </w14:solidFill>
          </w14:textFill>
        </w:rPr>
        <w:t>车辆管理：熟练掌握本项目车辆进出操作流程，疏导及指引车辆，</w:t>
      </w:r>
      <w:r>
        <w:rPr>
          <w:rFonts w:hint="eastAsia" w:ascii="宋体" w:hAnsi="宋体" w:eastAsia="宋体" w:cs="宋体"/>
          <w:color w:val="000000" w:themeColor="text1"/>
          <w:sz w:val="24"/>
          <w:szCs w:val="24"/>
          <w:highlight w:val="none"/>
          <w:lang w:val="zh-CN" w:eastAsia="zh-CN"/>
          <w14:textFill>
            <w14:solidFill>
              <w14:schemeClr w14:val="tx1"/>
            </w14:solidFill>
          </w14:textFill>
        </w:rPr>
        <w:t>严防电瓶车乱拉线充电，并要求商家及外来车辆到指定区域充电；</w:t>
      </w:r>
      <w:r>
        <w:rPr>
          <w:rFonts w:hint="eastAsia" w:ascii="宋体" w:hAnsi="宋体" w:eastAsia="宋体" w:cs="宋体"/>
          <w:color w:val="000000" w:themeColor="text1"/>
          <w:sz w:val="24"/>
          <w:szCs w:val="24"/>
          <w:highlight w:val="none"/>
          <w:lang w:val="zh-CN"/>
          <w14:textFill>
            <w14:solidFill>
              <w14:schemeClr w14:val="tx1"/>
            </w14:solidFill>
          </w14:textFill>
        </w:rPr>
        <w:t>以保障本</w:t>
      </w:r>
      <w:r>
        <w:rPr>
          <w:rFonts w:hint="eastAsia" w:ascii="宋体" w:hAnsi="宋体" w:eastAsia="宋体" w:cs="宋体"/>
          <w:color w:val="000000" w:themeColor="text1"/>
          <w:sz w:val="24"/>
          <w:szCs w:val="24"/>
          <w:highlight w:val="none"/>
          <w:lang w:val="zh-CN" w:eastAsia="zh-CN"/>
          <w14:textFill>
            <w14:solidFill>
              <w14:schemeClr w14:val="tx1"/>
            </w14:solidFill>
          </w14:textFill>
        </w:rPr>
        <w:t>区域</w:t>
      </w:r>
      <w:r>
        <w:rPr>
          <w:rFonts w:hint="eastAsia" w:ascii="宋体" w:hAnsi="宋体" w:eastAsia="宋体" w:cs="宋体"/>
          <w:color w:val="000000" w:themeColor="text1"/>
          <w:sz w:val="24"/>
          <w:szCs w:val="24"/>
          <w:highlight w:val="none"/>
          <w:lang w:val="zh-CN"/>
          <w14:textFill>
            <w14:solidFill>
              <w14:schemeClr w14:val="tx1"/>
            </w14:solidFill>
          </w14:textFill>
        </w:rPr>
        <w:t>车辆进出及停放有序，协助物业服务中心收取停车费并做好纸质登记。</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⑥ </w:t>
      </w:r>
      <w:r>
        <w:rPr>
          <w:rFonts w:hint="eastAsia" w:ascii="宋体" w:hAnsi="宋体" w:eastAsia="宋体" w:cs="宋体"/>
          <w:color w:val="000000" w:themeColor="text1"/>
          <w:sz w:val="24"/>
          <w:szCs w:val="24"/>
          <w:highlight w:val="none"/>
          <w:lang w:val="zh-CN"/>
          <w14:textFill>
            <w14:solidFill>
              <w14:schemeClr w14:val="tx1"/>
            </w14:solidFill>
          </w14:textFill>
        </w:rPr>
        <w:t>人员出入管理（外来访客及装修、施工人员、工作人员出入管理），按照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物业服务标准，文明执勤礼貌待客，并做好书面登记，按月交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⑦ </w:t>
      </w:r>
      <w:r>
        <w:rPr>
          <w:rFonts w:hint="eastAsia" w:ascii="宋体" w:hAnsi="宋体" w:eastAsia="宋体" w:cs="宋体"/>
          <w:color w:val="000000" w:themeColor="text1"/>
          <w:sz w:val="24"/>
          <w:szCs w:val="24"/>
          <w:highlight w:val="none"/>
          <w:lang w:val="zh-CN"/>
          <w14:textFill>
            <w14:solidFill>
              <w14:schemeClr w14:val="tx1"/>
            </w14:solidFill>
          </w14:textFill>
        </w:rPr>
        <w:t>物品管理（大件物品进出登记、检查、核对、汇报），禁止危险品进入本</w:t>
      </w:r>
      <w:r>
        <w:rPr>
          <w:rFonts w:hint="eastAsia" w:ascii="宋体" w:hAnsi="宋体" w:eastAsia="宋体" w:cs="宋体"/>
          <w:color w:val="000000" w:themeColor="text1"/>
          <w:sz w:val="24"/>
          <w:szCs w:val="24"/>
          <w:highlight w:val="none"/>
          <w:lang w:val="zh-CN" w:eastAsia="zh-CN"/>
          <w14:textFill>
            <w14:solidFill>
              <w14:schemeClr w14:val="tx1"/>
            </w14:solidFill>
          </w14:textFill>
        </w:rPr>
        <w:t>区域楼栋和地下室</w:t>
      </w:r>
      <w:r>
        <w:rPr>
          <w:rFonts w:hint="eastAsia" w:ascii="宋体" w:hAnsi="宋体" w:eastAsia="宋体" w:cs="宋体"/>
          <w:color w:val="000000" w:themeColor="text1"/>
          <w:sz w:val="24"/>
          <w:szCs w:val="24"/>
          <w:highlight w:val="none"/>
          <w:lang w:val="zh-CN"/>
          <w14:textFill>
            <w14:solidFill>
              <w14:schemeClr w14:val="tx1"/>
            </w14:solidFill>
          </w14:textFill>
        </w:rPr>
        <w:t>，并做好书面登记，按月交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⑧ </w:t>
      </w:r>
      <w:r>
        <w:rPr>
          <w:rFonts w:hint="eastAsia" w:ascii="宋体" w:hAnsi="宋体" w:eastAsia="宋体" w:cs="宋体"/>
          <w:color w:val="000000" w:themeColor="text1"/>
          <w:sz w:val="24"/>
          <w:szCs w:val="24"/>
          <w:highlight w:val="none"/>
          <w:lang w:val="zh-CN"/>
          <w14:textFill>
            <w14:solidFill>
              <w14:schemeClr w14:val="tx1"/>
            </w14:solidFill>
          </w14:textFill>
        </w:rPr>
        <w:t>装修管理：按照</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的服务标准对装修人员、车辆、物品进出检查登记， 装修巡查、违章装修的监管，并做好书面登记，按月交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⑨ </w:t>
      </w:r>
      <w:r>
        <w:rPr>
          <w:rFonts w:hint="eastAsia" w:ascii="宋体" w:hAnsi="宋体" w:eastAsia="宋体" w:cs="宋体"/>
          <w:color w:val="000000" w:themeColor="text1"/>
          <w:sz w:val="24"/>
          <w:szCs w:val="24"/>
          <w:highlight w:val="none"/>
          <w:lang w:val="zh-CN"/>
          <w14:textFill>
            <w14:solidFill>
              <w14:schemeClr w14:val="tx1"/>
            </w14:solidFill>
          </w14:textFill>
        </w:rPr>
        <w:t>钥匙管理：严格对大门、管理用房及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移交之所有钥匙（含进出门禁卡）的管理，并做好书面登记，按月交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⑩ </w:t>
      </w:r>
      <w:r>
        <w:rPr>
          <w:rFonts w:hint="eastAsia" w:ascii="宋体" w:hAnsi="宋体" w:eastAsia="宋体" w:cs="宋体"/>
          <w:color w:val="000000" w:themeColor="text1"/>
          <w:sz w:val="24"/>
          <w:szCs w:val="24"/>
          <w:highlight w:val="none"/>
          <w:lang w:val="zh-CN"/>
          <w14:textFill>
            <w14:solidFill>
              <w14:schemeClr w14:val="tx1"/>
            </w14:solidFill>
          </w14:textFill>
        </w:rPr>
        <w:t>做好本项目的巡逻、检查工作及各类安全隐患的预防性管控，并做好书面登记，按月交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⑪</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zh-CN"/>
          <w14:textFill>
            <w14:solidFill>
              <w14:schemeClr w14:val="tx1"/>
            </w14:solidFill>
          </w14:textFill>
        </w:rPr>
        <w:t>紧急事件处理（现场控制、急救、通知相关部门及采取措施防止事态扩大等），并做好书面登记，按月交</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存档。</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⑫</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lang w:val="zh-CN"/>
          <w14:textFill>
            <w14:solidFill>
              <w14:schemeClr w14:val="tx1"/>
            </w14:solidFill>
          </w14:textFill>
        </w:rPr>
        <w:t>本项目所有设备房、空置房、室外所有设施设备、所有岗位物品及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移交之物品，乙方负有保管义务，如上述设施设备财产有遗失或损坏，乙方应承担相应的责任及赔偿，并履行相关临时性配合工作及</w:t>
      </w:r>
      <w:r>
        <w:rPr>
          <w:rFonts w:hint="eastAsia" w:ascii="宋体" w:hAnsi="宋体" w:eastAsia="宋体" w:cs="宋体"/>
          <w:color w:val="000000" w:themeColor="text1"/>
          <w:sz w:val="24"/>
          <w:szCs w:val="24"/>
          <w:highlight w:val="none"/>
          <w:lang w:val="zh-CN" w:eastAsia="zh-CN"/>
          <w14:textFill>
            <w14:solidFill>
              <w14:schemeClr w14:val="tx1"/>
            </w14:solidFill>
          </w14:textFill>
        </w:rPr>
        <w:t>招标人</w:t>
      </w:r>
      <w:r>
        <w:rPr>
          <w:rFonts w:hint="eastAsia" w:ascii="宋体" w:hAnsi="宋体" w:eastAsia="宋体" w:cs="宋体"/>
          <w:color w:val="000000" w:themeColor="text1"/>
          <w:sz w:val="24"/>
          <w:szCs w:val="24"/>
          <w:highlight w:val="none"/>
          <w:lang w:val="zh-CN"/>
          <w14:textFill>
            <w14:solidFill>
              <w14:schemeClr w14:val="tx1"/>
            </w14:solidFill>
          </w14:textFill>
        </w:rPr>
        <w:t>合理的服务要求。</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14:textFill>
            <w14:solidFill>
              <w14:schemeClr w14:val="tx1"/>
            </w14:solidFill>
          </w14:textFill>
        </w:rPr>
        <w:t>⑬</w:t>
      </w:r>
      <w:r>
        <w:rPr>
          <w:rFonts w:hint="eastAsia" w:ascii="宋体" w:hAnsi="宋体" w:eastAsia="宋体" w:cs="宋体"/>
          <w:color w:val="000000" w:themeColor="text1"/>
          <w:sz w:val="24"/>
          <w:szCs w:val="24"/>
          <w:highlight w:val="none"/>
          <w:lang w:val="zh-CN" w:eastAsia="zh-CN"/>
          <w14:textFill>
            <w14:solidFill>
              <w14:schemeClr w14:val="tx1"/>
            </w14:solidFill>
          </w14:textFill>
        </w:rPr>
        <w:t xml:space="preserve"> 招标人</w:t>
      </w:r>
      <w:r>
        <w:rPr>
          <w:rFonts w:hint="eastAsia" w:ascii="宋体" w:hAnsi="宋体" w:eastAsia="宋体" w:cs="宋体"/>
          <w:color w:val="000000" w:themeColor="text1"/>
          <w:sz w:val="24"/>
          <w:szCs w:val="24"/>
          <w:highlight w:val="none"/>
          <w:lang w:val="zh-CN"/>
          <w14:textFill>
            <w14:solidFill>
              <w14:schemeClr w14:val="tx1"/>
            </w14:solidFill>
          </w14:textFill>
        </w:rPr>
        <w:t>要求配合的其他与工作相关的合法事宜：</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a.</w:t>
      </w:r>
      <w:r>
        <w:rPr>
          <w:rFonts w:hint="eastAsia" w:ascii="宋体" w:hAnsi="宋体" w:eastAsia="宋体" w:cs="宋体"/>
          <w:color w:val="000000" w:themeColor="text1"/>
          <w:sz w:val="24"/>
          <w:szCs w:val="24"/>
          <w:highlight w:val="none"/>
          <w:lang w:val="zh-CN"/>
          <w14:textFill>
            <w14:solidFill>
              <w14:schemeClr w14:val="tx1"/>
            </w14:solidFill>
          </w14:textFill>
        </w:rPr>
        <w:t>每周对所有队员进行队列训练一次；</w:t>
      </w:r>
    </w:p>
    <w:p>
      <w:pPr>
        <w:pStyle w:val="7"/>
        <w:rPr>
          <w:rFonts w:hint="eastAsia" w:ascii="宋体" w:hAnsi="宋体" w:eastAsia="宋体" w:cs="宋体"/>
          <w:color w:val="000000" w:themeColor="text1"/>
          <w:sz w:val="24"/>
          <w:szCs w:val="24"/>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b.</w:t>
      </w:r>
      <w:r>
        <w:rPr>
          <w:rFonts w:hint="eastAsia" w:ascii="宋体" w:hAnsi="宋体" w:eastAsia="宋体" w:cs="宋体"/>
          <w:color w:val="000000" w:themeColor="text1"/>
          <w:sz w:val="24"/>
          <w:szCs w:val="24"/>
          <w:highlight w:val="none"/>
          <w:lang w:val="zh-CN"/>
          <w14:textFill>
            <w14:solidFill>
              <w14:schemeClr w14:val="tx1"/>
            </w14:solidFill>
          </w14:textFill>
        </w:rPr>
        <w:t>每六个月进行一次消防应急演练；</w:t>
      </w:r>
    </w:p>
    <w:p>
      <w:pPr>
        <w:pStyle w:val="7"/>
        <w:rPr>
          <w:rFonts w:hint="eastAsia" w:ascii="宋体" w:hAnsi="宋体" w:eastAsia="宋体" w:cs="宋体"/>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C.重点部位1小时巡逻1次；</w:t>
      </w:r>
    </w:p>
    <w:p>
      <w:pPr>
        <w:pStyle w:val="8"/>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d.门岗分时段站岗服务。</w:t>
      </w:r>
    </w:p>
    <w:p>
      <w:pPr>
        <w:pStyle w:val="7"/>
        <w:rPr>
          <w:color w:val="000000" w:themeColor="text1"/>
          <w:highlight w:val="none"/>
          <w:lang w:val="zh-CN"/>
          <w14:textFill>
            <w14:solidFill>
              <w14:schemeClr w14:val="tx1"/>
            </w14:solidFill>
          </w14:textFill>
        </w:rPr>
      </w:pPr>
      <w:r>
        <w:rPr>
          <w:rFonts w:hint="eastAsia" w:ascii="宋体" w:hAnsi="宋体" w:eastAsia="宋体" w:cs="宋体"/>
          <w:color w:val="000000" w:themeColor="text1"/>
          <w:sz w:val="24"/>
          <w:szCs w:val="24"/>
          <w:highlight w:val="none"/>
          <w:lang w:val="zh-CN" w:eastAsia="zh-CN"/>
          <w14:textFill>
            <w14:solidFill>
              <w14:schemeClr w14:val="tx1"/>
            </w14:solidFill>
          </w14:textFill>
        </w:rPr>
        <w:t>⑭ 持有（四证），即：身份证、体检合格证明、保安员证、户口所在地公安派出所无犯罪记录证明（派驻前，中标单位开具介绍信，里面包含派驻保安人员基本信息和“四证”复印件资料）；需具备良好的语言表达、沟通协调能力，严格服从中心安排与指挥，做到爱岗敬业、恪尽职守、遵纪守法，文明执勤。</w:t>
      </w:r>
      <w:r>
        <w:rPr>
          <w:rFonts w:hint="eastAsia" w:ascii="宋体" w:hAnsi="宋体" w:eastAsia="宋体" w:cs="宋体"/>
          <w:color w:val="000000" w:themeColor="text1"/>
          <w:sz w:val="24"/>
          <w:szCs w:val="24"/>
          <w:highlight w:val="none"/>
          <w:lang w:val="en-US" w:eastAsia="zh-CN"/>
          <w14:textFill>
            <w14:solidFill>
              <w14:schemeClr w14:val="tx1"/>
            </w14:solidFill>
          </w14:textFill>
        </w:rPr>
        <w:t>普通</w:t>
      </w:r>
      <w:r>
        <w:rPr>
          <w:rFonts w:hint="eastAsia" w:ascii="宋体" w:hAnsi="宋体" w:eastAsia="宋体" w:cs="宋体"/>
          <w:color w:val="000000" w:themeColor="text1"/>
          <w:sz w:val="24"/>
          <w:szCs w:val="24"/>
          <w:highlight w:val="none"/>
          <w:lang w:val="zh-CN" w:eastAsia="zh-CN"/>
          <w14:textFill>
            <w14:solidFill>
              <w14:schemeClr w14:val="tx1"/>
            </w14:solidFill>
          </w14:textFill>
        </w:rPr>
        <w:t>保安人员年龄上限为60岁，</w:t>
      </w:r>
      <w:r>
        <w:rPr>
          <w:rFonts w:hint="eastAsia" w:ascii="宋体" w:hAnsi="宋体" w:eastAsia="宋体" w:cs="宋体"/>
          <w:color w:val="000000" w:themeColor="text1"/>
          <w:sz w:val="24"/>
          <w:szCs w:val="24"/>
          <w:highlight w:val="none"/>
          <w:lang w:val="en-US" w:eastAsia="zh-CN"/>
          <w14:textFill>
            <w14:solidFill>
              <w14:schemeClr w14:val="tx1"/>
            </w14:solidFill>
          </w14:textFill>
        </w:rPr>
        <w:t>初中及以上文化，身高165厘米及以上；消控室值班人员必须持有应急管理部门颁发的中级消防设施操作员证。</w:t>
      </w:r>
    </w:p>
    <w:p>
      <w:pPr>
        <w:pStyle w:val="8"/>
        <w:ind w:left="0" w:leftChars="0" w:right="105" w:firstLine="480" w:firstLineChars="200"/>
        <w:rPr>
          <w:rFonts w:asciiTheme="minorEastAsia" w:hAnsiTheme="minorEastAsia" w:eastAsiaTheme="minorEastAsia" w:cstheme="minorEastAsia"/>
          <w:b/>
          <w:bCs/>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三、商务要求</w:t>
      </w:r>
      <w:r>
        <w:rPr>
          <w:rFonts w:hint="eastAsia" w:asciiTheme="minorEastAsia" w:hAnsiTheme="minorEastAsia" w:eastAsiaTheme="minorEastAsia" w:cstheme="minorEastAsia"/>
          <w:b/>
          <w:color w:val="000000" w:themeColor="text1"/>
          <w:sz w:val="24"/>
          <w:highlight w:val="none"/>
          <w14:textFill>
            <w14:solidFill>
              <w14:schemeClr w14:val="tx1"/>
            </w14:solidFill>
          </w14:textFill>
        </w:rPr>
        <w:t>（实质性要求，不满足做无效投标处理）</w:t>
      </w:r>
      <w:r>
        <w:rPr>
          <w:rFonts w:hint="eastAsia" w:asciiTheme="minorEastAsia" w:hAnsiTheme="minorEastAsia" w:eastAsiaTheme="minorEastAsia" w:cstheme="minorEastAsia"/>
          <w:b/>
          <w:bCs/>
          <w:color w:val="000000" w:themeColor="text1"/>
          <w:sz w:val="24"/>
          <w:szCs w:val="24"/>
          <w:highlight w:val="none"/>
          <w14:textFill>
            <w14:solidFill>
              <w14:schemeClr w14:val="tx1"/>
            </w14:solidFill>
          </w14:textFill>
        </w:rPr>
        <w:t>：</w:t>
      </w:r>
    </w:p>
    <w:p>
      <w:pPr>
        <w:pStyle w:val="8"/>
        <w:ind w:left="475" w:leftChars="140" w:right="105" w:firstLine="0" w:firstLineChars="0"/>
        <w:rPr>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（一）服务有效期限：合同两年一签。</w:t>
      </w:r>
    </w:p>
    <w:p>
      <w:pPr>
        <w:pStyle w:val="8"/>
        <w:ind w:left="475" w:leftChars="140" w:right="105" w:firstLine="0" w:firstLineChars="0"/>
        <w:rPr>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（二）中标供应商须服从招标人的工作安排。</w:t>
      </w:r>
    </w:p>
    <w:p>
      <w:pPr>
        <w:ind w:right="105" w:firstLine="480"/>
        <w:rPr>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（三）付款方式：合同中约定（见合同参考模板）。</w:t>
      </w:r>
    </w:p>
    <w:p>
      <w:pPr>
        <w:pStyle w:val="8"/>
        <w:ind w:right="105" w:firstLine="480"/>
        <w:rPr>
          <w:rFonts w:asciiTheme="minorEastAsia" w:hAnsiTheme="minorEastAsia" w:eastAsiaTheme="minorEastAsia" w:cstheme="minorEastAsia"/>
          <w:color w:val="000000" w:themeColor="text1"/>
          <w:sz w:val="24"/>
          <w:szCs w:val="24"/>
          <w:highlight w:val="none"/>
          <w14:textFill>
            <w14:solidFill>
              <w14:schemeClr w14:val="tx1"/>
            </w14:solidFill>
          </w14:textFill>
        </w:rPr>
      </w:pPr>
      <w:r>
        <w:rPr>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（四）服务期满后，中标人根据招标单位的要求可延续提供1—2个月的服务，费用标准按原合同规定执行。</w:t>
      </w:r>
    </w:p>
    <w:p>
      <w:pPr>
        <w:ind w:right="105" w:firstLine="0" w:firstLineChars="0"/>
        <w:jc w:val="center"/>
        <w:outlineLvl w:val="0"/>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bookmarkStart w:id="13" w:name="_Toc27520"/>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第四章  评标办法</w:t>
      </w:r>
      <w:bookmarkEnd w:id="13"/>
    </w:p>
    <w:p>
      <w:pPr>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1. 总则</w:t>
      </w:r>
    </w:p>
    <w:p>
      <w:pPr>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1.1 评标工作由招标人负责组织，具体评标事务由依法组建的评标小组负责。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1.2 评标工作应遵循公平、公正、科学及择优的原则，并以相同的评标程序和标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准对待所有的投标人。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1.3 评标小组按照</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规定的评标方法和标准进行评标，并独立履行下列职责：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（一）熟悉和理解</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（二）审查投标人投标文件等是否满足</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要求，并作出评价；</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（三）根据需要要求招标单位对</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作出解释；根据需要要求投标人对投标文件有关事项作出澄清、说明或者更正；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（四）推荐中标候选人，或者受招标人委托确定中标人；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（五）起草评标报告并进行签署；</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（六）向招标采购单位或者其他监督部门报告非法干预评标工作的行为；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（七）法律法规和规章规定的其他职责。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1.4 评标过程独立、保密。投标人非法干预评标过程的行为将导致其投标文件作为无效处理。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1.5评标小组评价投标文件的响应性，对于投标人而言，除评标小组要求其澄清、说明或者更正而提供的资料外，仅依据投标文件本身的内容，不寻求其他外部证据。</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2. 评标方法</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本项目评标方法为：综合评分法。</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3. 评标程序</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 熟悉并理解招标文件，以及停止评标的条件。</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3.1.1在正式评标前，评标小组需深入熟悉并理解招标文件，内容涵盖投标人资格条件、采购项目的技术、服务和商务要求，评标方法和标准，以及可能涉及的合同签订内容等。</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3.1.2评标小组熟悉和理解</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以及评标过程中，发现本</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有下列情形之一的，评标小组应当停止评标：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（1）招标文件的规定存在重大歧义、重大缺陷，继续评标将损害招标人利益的；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明显以不合理条件对投标人实行差别待遇或者歧视待遇的；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有违反国家其他有关强制性规定的情形。</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3.1.3出现本条3.1.2规定应当停止评标情形的，评标小组成员应当向招标采购单位书面说明情况。除本条规定和评标小组无法依法组建的情形外，评标小组成员不得以任何方式和理由停止评标。</w:t>
      </w:r>
    </w:p>
    <w:p>
      <w:pPr>
        <w:pStyle w:val="44"/>
        <w:spacing w:line="360" w:lineRule="auto"/>
        <w:ind w:firstLine="480" w:firstLineChars="200"/>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3.2初步评审</w:t>
      </w:r>
    </w:p>
    <w:p>
      <w:pPr>
        <w:pStyle w:val="44"/>
        <w:spacing w:line="360" w:lineRule="auto"/>
        <w:ind w:firstLine="480" w:firstLineChars="200"/>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3.2.1资格性审查。</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依据法律法规和本招标文件的规定，评标小组对投标人的资格证明材料进行审查，以确定投标人是否具备投标资格。</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3.2.2符合性审查。</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对通过了资格审查的投标文件，评标小组依据本</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的实质性要求，对其进行审查，以确定其是否满足本</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的实质性要求。本项目符合性审查事项仅限于本</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的明确规定。若投标文件未能满足招标文件的实质性要求，必须严格按照本招标文件的明确规定进行判断，不得随意将其视为无效投标，评标小组也不得擅自推测符合性审查事项。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3.2.2.1投标文件有下列情形的，本项目不作为实质性要求进行规定，即不作为符合性审查事项，不得作为无效投标处理： </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（一）除</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明确要求加盖单位（法人）公章的以外，其他地方以相关专用章加盖的；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（二）以骑缝章的形式代替投标文件内容逐页盖章的（但是骑缝章模糊不清，印章名称无法辨认的除外）；</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（三）其他不影响采购项目实质性要求的情形。</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3.2.2.2除采购法律制度规定的情形外，本项目投标人或者其投标文件有下列情形之一的，作为无效投标处理：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（一）投标文件正副本数量不足的；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（二）投标文件组成明显不符合</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的规定要求，影响评标小组评判的；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（三）投标文件的格式、语言、计量单位、报价货币等不符合</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的规定，影响评标小组评判的；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（四）投标报价不符合</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规定的最高限价和其他报价规定的；</w:t>
      </w:r>
    </w:p>
    <w:p>
      <w:pPr>
        <w:pStyle w:val="9"/>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（五）技术应答没有完全响应招标文件实质性要求的；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（六）</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有明确要求，但投标文件未载明或者载明的采购项目履约时间、方式、质量、数量与</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要求不一致的。</w:t>
      </w:r>
    </w:p>
    <w:p>
      <w:pPr>
        <w:pStyle w:val="44"/>
        <w:spacing w:line="360" w:lineRule="auto"/>
        <w:ind w:firstLine="720" w:firstLineChars="300"/>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 xml:space="preserve">3.2.3 </w:t>
      </w:r>
      <w:r>
        <w:rPr>
          <w:rFonts w:hint="eastAsia" w:asciiTheme="majorEastAsia" w:hAnsiTheme="majorEastAsia" w:eastAsiaTheme="majorEastAsia" w:cstheme="majorEastAsia"/>
          <w:b/>
          <w:color w:val="000000" w:themeColor="text1"/>
          <w:szCs w:val="24"/>
          <w:highlight w:val="none"/>
          <w14:textFill>
            <w14:solidFill>
              <w14:schemeClr w14:val="tx1"/>
            </w14:solidFill>
          </w14:textFill>
        </w:rPr>
        <w:t>若经初步评审，合格投标人数量未达三家，则评标工作应当中止。</w:t>
      </w:r>
    </w:p>
    <w:p>
      <w:pPr>
        <w:pStyle w:val="44"/>
        <w:spacing w:line="360" w:lineRule="auto"/>
        <w:ind w:firstLine="338" w:firstLineChars="141"/>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3.3详细评审</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按</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中规定的评标方法和标准，对合格投标人的投标文件进行商务、技术等方面评估，综合比较后评价。</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3.4复核。评分汇总工作完成后，招标方需进行复核工作，尤其需重点关注拟推荐的中标候选人、报价最低者以及被判定为投标无效的投标人。</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3.5推荐中标候选人。中标候选人为</w:t>
      </w:r>
      <w:r>
        <w:rPr>
          <w:rFonts w:hint="eastAsia" w:asciiTheme="majorEastAsia" w:hAnsiTheme="majorEastAsia" w:eastAsiaTheme="majorEastAsia" w:cstheme="majorEastAsia"/>
          <w:color w:val="000000" w:themeColor="text1"/>
          <w:sz w:val="24"/>
          <w:szCs w:val="24"/>
          <w:highlight w:val="none"/>
          <w:u w:val="single"/>
          <w14:textFill>
            <w14:solidFill>
              <w14:schemeClr w14:val="tx1"/>
            </w14:solidFill>
          </w14:textFill>
        </w:rPr>
        <w:t>3</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人，中标候选人应当排序。评标结果按评审后综合得分由高到低顺序排列；</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得分相同，投标报价低排名在前；</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得分且投标报价相同的，根据招标项目实际情况，明确一个具体量化指标进行排序；</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若评标小组推荐的中标候选人数量未达到招标文件规定，须先获招标人书面同意，方可据实推荐。未获得招标人的书面同意，评标小组不得在招标文件规定之外推荐中标候选人，否则，招标人可以不予认可。</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3.6出具评标报告。评标小组推荐中标候选人后，应当向招标人出具评标报告。评标报告应当包括下列内容：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（1）招标开标日期和地点；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（2）获取招标文件的投标人名单和评标小组成员名单；</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（3）评标方法和标准；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（4）开标记录和评标情况及说明，包括无效投标人名单及原因；</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（5）评标结果和中标候选人排序表；</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（6）报价最高的投标人为第一中标候选人的，评标小组应当对其报价的合理性予以特别说明。</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评标小组成员需于评标报告中签字确认，对评标过程或结果有异议者，须在报告中注明异议及理由。未注明异议或理由者，视为无异议。拒不签字又未另行书面说明其不同意见和理由的，视同同意评标结果。</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3.7评标争议处理规则。评标小组在评审过程中，对于符合性审查、对投标文件做无效投标处理及其他需要共同认定的事项存在争议时，应依据《评标小组和评标方法暂行规定》中提到的公平、公正、科学、择优的原则，以少数服从多数的方式作出结论。但此结论必须严格遵守法律法规和招标文件的规定，确保评标过程的合法性和公正性。有不同意见的评标小组成员认为认定过程和结果不符合法律法规或者</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规定的，应当及时向招标采购单位书面反映，并及时处理。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3.8投标人应当书面澄清、说明或者更正。</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3.8.1在评标过程中，在投标文件实质性符合</w:t>
      </w:r>
      <w:r>
        <w:rPr>
          <w:rFonts w:hint="eastAsia" w:asciiTheme="majorEastAsia" w:hAnsiTheme="majorEastAsia" w:eastAsiaTheme="majorEastAsia" w:cstheme="majorEastAsia"/>
          <w:snapToGrid w:val="0"/>
          <w:color w:val="000000" w:themeColor="text1"/>
          <w:sz w:val="24"/>
          <w:szCs w:val="24"/>
          <w:highlight w:val="none"/>
          <w14:textFill>
            <w14:solidFill>
              <w14:schemeClr w14:val="tx1"/>
            </w14:solidFill>
          </w14:textFill>
        </w:rPr>
        <w:t>招标文件</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要求的前提下，评标小组对投标文件中含义不明确、同类问题表述不一致或者有明显文字和计算错误的内容，应当以书面形式（须由评标小组全体成员签字）要求投标人作出必要的书面澄清、说明或者更正，并给予投标人必要的反馈时间。</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3.8.2投标人应当书面澄清、说明或者更正，并加盖单位公章或签字确认（投标人为法人的，应当由其法定代表人或者授权代表签字确认），否则无效。澄清、说明或者更正不影响投标文件的效力，有效地澄清、说明或者更正材料，是投标文件的组成部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3.8.3根据《招标投标法》及相关法规，评标小组在要求投标人澄清、说明或更正投标文件时，必须确保不超出招标文件的范围，不得要求投标人实质改变投标文件的内容，以维护公平竞争的环境。本项目下列内容不得澄清：</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（1）按招标文件规定应当在评标时不予承认的投标文件内容事项；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（2）投标文件中已经明确的内容事项；</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（3）投标文件未提供的材料。</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3.8.4 本项目采购过程中，投标文件出现下列情况的，不需要投标人澄清、说明或者更正，按照以下原则处理：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（1）投标文件的大写金额和小写金额不一致的，以大写金额为准，但大写金额出现文字错误，导致金额无法判断的除外；</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（2）总价金额与按单价汇总金额不一致的，以单价汇总金额计算结果为准，但是单价金额出现计算错误、明显人为工作失误的除外；</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（3）单价金额小数点有明显错位的，应以总价为准，并修改单价；</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（4）开标一览表中报价与投标文件中其他报价不一致时，以开标一览表中的报价为准；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（5）对不同语言文本投标文件的解释发生异议的，以中文文本为准。</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出现本条第（2）项规定情形，单价汇总金额比总价金额高，且超过本项目最高限价的，投标文件应作为无效投标处理；单价汇总金额比总价金额高，但未超过采购项目最高限价的，应以单价汇总金额作为价格评分依据。</w:t>
      </w:r>
    </w:p>
    <w:p>
      <w:pPr>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注：评标小组应当积极履行澄清、说明或者更正的职责，不得滥用权力。投标人的投标文件可以要求澄清、说明或者更正的，不得未经澄清、说明或者更正而直接作无效投标处理。</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3.9 低于成本价投标处理。在评标过程中，评标小组认为供应商的报价明显低于其他通过符合性审查的投标人的报价，有可能影响服务质量或者不能诚信履约的，应当要求其在评标现场合理的时间内提供书面说明，必要时提交相关证明材料；投标人不能证明其报价合理性的，评标小组应当将其作为无效投标处理。投标人需依据国家财务会计制度，详细阐述其服务成本构成，包括主营业务成本（区分供应商企业类型）、税金及附加、销售费用、管理费用、财务费用等，每一项均需详细说明。</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投标人书面说明应当签字确认或者加盖公章，否则无效。书面说明的签字确认，投标人为法人的，由其法定代表人或者授权代表签字确认。</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投标人提供书面说明后，评标小组在审查评价时，应依据采购项目需求、专业实际情况、投标人财务状况报告、业绩和信誉要求等，结合评标办法中规定的评审标准和权重，对投标文件进行综合评估，确保评标过程的公正性。投标人拒绝或者变相拒绝提供有效书面说明或者书面说明不能证明其报价合理性的，评标小组应当将其投标文件作为无效处理。</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3.10招标采购单位现场复核评标结果。</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3.10.1评标结果汇总完成后，评标小组在出具评标报告前，招标采购单位应组织2名以上工作人员，在采购现场监督人员的监督下，依据《中华人民共和国招标投标法》、《中华人民共和国招标投标法实施条例》等法律法规，以及招标文件对评标结果进行复核。存在下列情形之一的，招标采购单位应当根据情况书面建议评标小组现场修改评标结果或者重新评标：</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（1）资格性审查认定错误的；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（2）分值汇总计算错误的；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（3）分项评分超出评分标准范围的；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（4）客观评分不一致的。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存在本条上述规定情形的，评标小组应当采纳招标采购单位的书面建议，按照规定修改评标结果或重新评标，并承担独立评审责任。</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 xml:space="preserve"> 3.10.2有下列情形之一的，不得修改评标结果或者重新评标：</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（1）评标小组已经出具评标报告并且离开评标现场的；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（2）招标采购单位现场复核时，没有采购监督人员现场监督的；</w:t>
      </w:r>
    </w:p>
    <w:p>
      <w:pPr>
        <w:pStyle w:val="94"/>
        <w:ind w:firstLine="480"/>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Cs w:val="24"/>
          <w:highlight w:val="none"/>
          <w14:textFill>
            <w14:solidFill>
              <w14:schemeClr w14:val="tx1"/>
            </w14:solidFill>
          </w14:textFill>
        </w:rPr>
        <w:t>（3）招标采购单位现场复核内容超出规定范围的。</w:t>
      </w:r>
    </w:p>
    <w:p>
      <w:pPr>
        <w:pStyle w:val="94"/>
        <w:ind w:firstLine="482"/>
        <w:jc w:val="both"/>
        <w:rPr>
          <w:rFonts w:asciiTheme="majorEastAsia" w:hAnsiTheme="majorEastAsia" w:eastAsiaTheme="majorEastAsia" w:cstheme="majorEastAsia"/>
          <w:color w:val="000000" w:themeColor="text1"/>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Cs w:val="24"/>
          <w:highlight w:val="none"/>
          <w14:textFill>
            <w14:solidFill>
              <w14:schemeClr w14:val="tx1"/>
            </w14:solidFill>
          </w14:textFill>
        </w:rPr>
        <w:t>4．评标细则及标准</w:t>
      </w:r>
      <w:bookmarkStart w:id="14" w:name="OLE_LINK26"/>
    </w:p>
    <w:p>
      <w:pPr>
        <w:pStyle w:val="11"/>
        <w:tabs>
          <w:tab w:val="left" w:pos="600"/>
        </w:tabs>
        <w:adjustRightInd w:val="0"/>
        <w:snapToGrid w:val="0"/>
        <w:ind w:right="105" w:firstLine="480"/>
        <w:rPr>
          <w:rFonts w:asciiTheme="majorEastAsia" w:hAnsiTheme="majorEastAsia" w:eastAsiaTheme="majorEastAsia" w:cstheme="majorEastAsia"/>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4"/>
          <w:szCs w:val="24"/>
          <w:highlight w:val="none"/>
          <w14:textFill>
            <w14:solidFill>
              <w14:schemeClr w14:val="tx1"/>
            </w14:solidFill>
          </w14:textFill>
        </w:rPr>
        <w:t>4.1初步评审的评审细则</w:t>
      </w:r>
    </w:p>
    <w:tbl>
      <w:tblPr>
        <w:tblStyle w:val="31"/>
        <w:tblW w:w="10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7"/>
        <w:gridCol w:w="540"/>
        <w:gridCol w:w="7"/>
        <w:gridCol w:w="2667"/>
        <w:gridCol w:w="59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jc w:val="center"/>
        </w:trPr>
        <w:tc>
          <w:tcPr>
            <w:tcW w:w="1402" w:type="dxa"/>
            <w:gridSpan w:val="4"/>
            <w:vAlign w:val="center"/>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lang w:eastAsia="en-US"/>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条款号</w:t>
            </w:r>
          </w:p>
        </w:tc>
        <w:tc>
          <w:tcPr>
            <w:tcW w:w="2667" w:type="dxa"/>
            <w:vAlign w:val="center"/>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lang w:eastAsia="en-US"/>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评审因素</w:t>
            </w:r>
          </w:p>
        </w:tc>
        <w:tc>
          <w:tcPr>
            <w:tcW w:w="5962" w:type="dxa"/>
            <w:vAlign w:val="center"/>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lang w:eastAsia="en-US"/>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评审标准</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和资料要求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restart"/>
            <w:tcBorders>
              <w:left w:val="single" w:color="auto" w:sz="4" w:space="0"/>
              <w:bottom w:val="single" w:color="auto" w:sz="4" w:space="0"/>
              <w:right w:val="single" w:color="auto" w:sz="4" w:space="0"/>
            </w:tcBorders>
            <w:vAlign w:val="center"/>
          </w:tcPr>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初</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步</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w:t>
            </w:r>
          </w:p>
          <w:p>
            <w:pPr>
              <w:autoSpaceDE w:val="0"/>
              <w:autoSpaceDN w:val="0"/>
              <w:adjustRightInd w:val="0"/>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审</w:t>
            </w:r>
          </w:p>
        </w:tc>
        <w:tc>
          <w:tcPr>
            <w:tcW w:w="554" w:type="dxa"/>
            <w:gridSpan w:val="3"/>
            <w:vMerge w:val="restart"/>
            <w:tcBorders>
              <w:left w:val="single" w:color="auto" w:sz="4" w:space="0"/>
            </w:tcBorders>
            <w:vAlign w:val="center"/>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资</w:t>
            </w:r>
          </w:p>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格</w:t>
            </w:r>
          </w:p>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评</w:t>
            </w:r>
          </w:p>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lang w:eastAsia="en-US"/>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eastAsia="en-US"/>
                <w14:textFill>
                  <w14:solidFill>
                    <w14:schemeClr w14:val="tx1"/>
                  </w14:solidFill>
                </w14:textFill>
              </w:rPr>
              <w:t>审</w:t>
            </w:r>
          </w:p>
        </w:tc>
        <w:tc>
          <w:tcPr>
            <w:tcW w:w="2667" w:type="dxa"/>
            <w:vAlign w:val="center"/>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四川省绵阳市</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境内注册，具有独立法人资格的企业</w:t>
            </w:r>
          </w:p>
        </w:tc>
        <w:tc>
          <w:tcPr>
            <w:tcW w:w="5962"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评审标准：有统一社会信用代码的营业执照副本。</w:t>
            </w:r>
          </w:p>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提供资料：营业执照复印件，加盖单位公章。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商业信誉和财务会计制度；</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（1）商业信誉：</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评审标准：具有良好的商业信誉。</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（2）财务会计制度：</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评审标准：具有健全的财务会计制度。</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9"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履行合同所必需的设备和专业技术能力；</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评审标准：具有履行合同所必需的设备和专业技术能力。</w:t>
            </w:r>
          </w:p>
          <w:p>
            <w:pPr>
              <w:widowControl/>
              <w:spacing w:line="240" w:lineRule="auto"/>
              <w:ind w:right="105" w:firstLine="0" w:firstLineChars="0"/>
              <w:jc w:val="left"/>
              <w:rPr>
                <w:rFonts w:asciiTheme="majorEastAsia" w:hAnsiTheme="majorEastAsia" w:eastAsiaTheme="majorEastAsia" w:cstheme="majorEastAsia"/>
                <w:snapToGrid w:val="0"/>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 xml:space="preserve">提供资料：在承诺函中作出承诺。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36"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依法缴纳税收和社会保障资金的记录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评审标准：具有依法缴纳税收和社会保障资金的良好记录。</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10"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采购活动前三年内，在经营活动中的重大违法记录；</w:t>
            </w:r>
          </w:p>
        </w:tc>
        <w:tc>
          <w:tcPr>
            <w:tcW w:w="5962" w:type="dxa"/>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评审标准：无相关重大违法记录。</w:t>
            </w:r>
          </w:p>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93"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Borders>
              <w:bottom w:val="single" w:color="auto" w:sz="4" w:space="0"/>
            </w:tcBorders>
          </w:tcPr>
          <w:p>
            <w:pPr>
              <w:widowControl/>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根据采购项目的特殊要求规定的投标人特定条件</w:t>
            </w:r>
          </w:p>
        </w:tc>
        <w:tc>
          <w:tcPr>
            <w:tcW w:w="5962" w:type="dxa"/>
            <w:vAlign w:val="center"/>
          </w:tcPr>
          <w:p>
            <w:pPr>
              <w:widowControl/>
              <w:spacing w:line="440" w:lineRule="exact"/>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评审标准：投标人特定条件。</w:t>
            </w:r>
          </w:p>
          <w:p>
            <w:pPr>
              <w:widowControl/>
              <w:spacing w:line="240" w:lineRule="auto"/>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提供资料：提供公安部门核发的《保安服务许可证》复印件或扫描件。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75"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Borders>
              <w:bottom w:val="single" w:color="auto" w:sz="4" w:space="0"/>
            </w:tcBorders>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截止投标截止日，是否处于行业单位投标限制期内</w:t>
            </w:r>
          </w:p>
        </w:tc>
        <w:tc>
          <w:tcPr>
            <w:tcW w:w="5962"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评审标准：未处于相应投标限制期内。</w:t>
            </w:r>
          </w:p>
          <w:p>
            <w:pPr>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8"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pStyle w:val="102"/>
              <w:widowControl/>
              <w:jc w:val="left"/>
              <w:rPr>
                <w:rFonts w:asciiTheme="majorEastAsia" w:hAnsiTheme="majorEastAsia" w:eastAsiaTheme="majorEastAsia" w:cstheme="majorEastAsia"/>
                <w:color w:val="000000" w:themeColor="text1"/>
                <w:kern w:val="0"/>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1"/>
                <w:szCs w:val="21"/>
                <w:highlight w:val="none"/>
                <w14:textFill>
                  <w14:solidFill>
                    <w14:schemeClr w14:val="tx1"/>
                  </w14:solidFill>
                </w14:textFill>
              </w:rPr>
              <w:t>截止到本项目投标截止时间，投标人被列入“国家企业信用信息公示系统”网站中严重违法失信企业名单（黑名单）信息的；2022年1月1日以来，在“中国裁判文书网”网站显示有行贿行为记录的投标人或党政纪处分决定书认定的涉及行贿行为的投标人。</w:t>
            </w:r>
          </w:p>
        </w:tc>
        <w:tc>
          <w:tcPr>
            <w:tcW w:w="5962" w:type="dxa"/>
          </w:tcPr>
          <w:p>
            <w:pPr>
              <w:pStyle w:val="102"/>
              <w:spacing w:line="276" w:lineRule="auto"/>
              <w:jc w:val="left"/>
              <w:rPr>
                <w:rFonts w:asciiTheme="majorEastAsia" w:hAnsiTheme="majorEastAsia" w:eastAsiaTheme="majorEastAsia" w:cstheme="majorEastAsia"/>
                <w:color w:val="000000" w:themeColor="text1"/>
                <w:kern w:val="0"/>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1"/>
                <w:szCs w:val="21"/>
                <w:highlight w:val="none"/>
                <w14:textFill>
                  <w14:solidFill>
                    <w14:schemeClr w14:val="tx1"/>
                  </w14:solidFill>
                </w14:textFill>
              </w:rPr>
              <w:t>评审标准：无相应不良记录。</w:t>
            </w:r>
          </w:p>
          <w:p>
            <w:pPr>
              <w:pStyle w:val="102"/>
              <w:spacing w:line="276" w:lineRule="auto"/>
              <w:jc w:val="left"/>
              <w:rPr>
                <w:rFonts w:asciiTheme="majorEastAsia" w:hAnsiTheme="majorEastAsia" w:eastAsiaTheme="majorEastAsia" w:cstheme="majorEastAsia"/>
                <w:color w:val="000000" w:themeColor="text1"/>
                <w:kern w:val="0"/>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1"/>
                <w:szCs w:val="21"/>
                <w:highlight w:val="none"/>
                <w14:textFill>
                  <w14:solidFill>
                    <w14:schemeClr w14:val="tx1"/>
                  </w14:solidFill>
                </w14:textFill>
              </w:rPr>
              <w:t>提供资料：招标人在投标人递交报名资料时，将通过存在行贿行为供应商名单、“中国裁判文书网”、 “国家企业信用信息公示系统”的相应不良记录进行查询，并将查询结果在评标时提交评标小组。如存在上述行贿信息，招标人将不接受其投标报名，并填写《供应商筛查表》留档备查。</w:t>
            </w:r>
          </w:p>
          <w:p>
            <w:pPr>
              <w:pStyle w:val="102"/>
              <w:spacing w:line="276" w:lineRule="auto"/>
              <w:jc w:val="left"/>
              <w:rPr>
                <w:rFonts w:asciiTheme="majorEastAsia" w:hAnsiTheme="majorEastAsia" w:eastAsiaTheme="majorEastAsia" w:cstheme="majorEastAsia"/>
                <w:color w:val="000000" w:themeColor="text1"/>
                <w:kern w:val="0"/>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kern w:val="0"/>
                <w:sz w:val="21"/>
                <w:szCs w:val="21"/>
                <w:highlight w:val="none"/>
                <w14:textFill>
                  <w14:solidFill>
                    <w14:schemeClr w14:val="tx1"/>
                  </w14:solidFill>
                </w14:textFill>
              </w:rPr>
              <w:t>投标人无需提供该资料。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4" w:hRule="atLeast"/>
          <w:jc w:val="center"/>
        </w:trPr>
        <w:tc>
          <w:tcPr>
            <w:tcW w:w="848" w:type="dxa"/>
            <w:vMerge w:val="continue"/>
            <w:tcBorders>
              <w:top w:val="single" w:color="auto" w:sz="4" w:space="0"/>
              <w:left w:val="single" w:color="auto" w:sz="4" w:space="0"/>
              <w:bottom w:val="single" w:color="auto" w:sz="4" w:space="0"/>
              <w:right w:val="single" w:color="auto" w:sz="4" w:space="0"/>
            </w:tcBorders>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54" w:type="dxa"/>
            <w:gridSpan w:val="3"/>
            <w:vMerge w:val="continue"/>
            <w:tcBorders>
              <w:left w:val="single" w:color="auto" w:sz="4" w:space="0"/>
            </w:tcBorders>
            <w:vAlign w:val="center"/>
          </w:tcPr>
          <w:p>
            <w:pPr>
              <w:widowControl/>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67"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是否存在招标文件规定的其他禁止投标情形</w:t>
            </w:r>
          </w:p>
        </w:tc>
        <w:tc>
          <w:tcPr>
            <w:tcW w:w="5962" w:type="dxa"/>
          </w:tcPr>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评审标准：不存在招标文件规定的其他禁止投标情形。</w:t>
            </w:r>
          </w:p>
          <w:p>
            <w:pPr>
              <w:widowControl/>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提供资料：在承诺函中作出承诺。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7" w:hRule="atLeast"/>
          <w:jc w:val="center"/>
        </w:trPr>
        <w:tc>
          <w:tcPr>
            <w:tcW w:w="855" w:type="dxa"/>
            <w:gridSpan w:val="2"/>
            <w:vMerge w:val="restart"/>
            <w:tcBorders>
              <w:top w:val="nil"/>
            </w:tcBorders>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restart"/>
            <w:vAlign w:val="center"/>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符合性评审</w:t>
            </w: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投标人名称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评审标准：与营业执照一致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widowControl/>
              <w:spacing w:line="240" w:lineRule="auto"/>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投标文件装订</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72"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签字和盖章</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评审标准：符合第二章第20条要求。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投标保证金</w:t>
            </w:r>
          </w:p>
        </w:tc>
        <w:tc>
          <w:tcPr>
            <w:tcW w:w="5962" w:type="dxa"/>
          </w:tcPr>
          <w:p>
            <w:pPr>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本项目收取投标保证金</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10</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0000.00元（大写：</w:t>
            </w:r>
            <w:r>
              <w:rPr>
                <w:rFonts w:hint="eastAsia" w:asciiTheme="majorEastAsia" w:hAnsiTheme="majorEastAsia" w:eastAsiaTheme="majorEastAsia" w:cstheme="majorEastAsia"/>
                <w:color w:val="000000" w:themeColor="text1"/>
                <w:sz w:val="21"/>
                <w:szCs w:val="21"/>
                <w:highlight w:val="none"/>
                <w:lang w:val="en-US" w:eastAsia="zh-CN"/>
                <w14:textFill>
                  <w14:solidFill>
                    <w14:schemeClr w14:val="tx1"/>
                  </w14:solidFill>
                </w14:textFill>
              </w:rPr>
              <w:t>壹拾</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万元整）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投标文件份数</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评审标准：符合第二章“投标人须知前附表”要求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78"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报价</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w:t>
            </w:r>
          </w:p>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1、报价唯一；</w:t>
            </w:r>
          </w:p>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2、报价不超过最高限价；</w:t>
            </w:r>
          </w:p>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3、报价所包含的内容符合招标文件要求；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vAlign w:val="center"/>
          </w:tcPr>
          <w:p>
            <w:pPr>
              <w:pStyle w:val="11"/>
              <w:tabs>
                <w:tab w:val="left" w:pos="600"/>
              </w:tabs>
              <w:adjustRightInd w:val="0"/>
              <w:snapToGrid w:val="0"/>
              <w:ind w:right="105" w:firstLine="0" w:firstLineChars="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投标有效期</w:t>
            </w:r>
          </w:p>
        </w:tc>
        <w:tc>
          <w:tcPr>
            <w:tcW w:w="5962" w:type="dxa"/>
            <w:vAlign w:val="center"/>
          </w:tcPr>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评审标准：不少于招标文件要求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5"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42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leftChars="-37" w:right="105" w:hanging="126" w:hangingChars="60"/>
              <w:jc w:val="center"/>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授权代表</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评审标准：具有招标文件要求的社保证明材料。</w:t>
            </w: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提供资料：提供投标单位为授权代表缴纳社保的承诺函或社保缴纳证明材料。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26"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1"/>
                <w:szCs w:val="21"/>
                <w:highlight w:val="none"/>
                <w14:textFill>
                  <w14:solidFill>
                    <w14:schemeClr w14:val="tx1"/>
                  </w14:solidFill>
                </w14:textFill>
              </w:rPr>
              <w:t>根据项目实际，按照招标文件前文提出的要求，编写其他符合性审查内容</w:t>
            </w: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，如履约时间、方式、质量等</w:t>
            </w:r>
          </w:p>
        </w:tc>
        <w:tc>
          <w:tcPr>
            <w:tcW w:w="5962" w:type="dxa"/>
          </w:tcPr>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评审标准：符合招标文件要求。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71" w:hRule="atLeast"/>
          <w:jc w:val="center"/>
        </w:trPr>
        <w:tc>
          <w:tcPr>
            <w:tcW w:w="855" w:type="dxa"/>
            <w:gridSpan w:val="2"/>
            <w:vMerge w:val="continue"/>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540" w:type="dxa"/>
            <w:vMerge w:val="continue"/>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tc>
        <w:tc>
          <w:tcPr>
            <w:tcW w:w="2674" w:type="dxa"/>
            <w:gridSpan w:val="2"/>
          </w:tcPr>
          <w:p>
            <w:pPr>
              <w:pStyle w:val="11"/>
              <w:tabs>
                <w:tab w:val="left" w:pos="600"/>
              </w:tabs>
              <w:adjustRightInd w:val="0"/>
              <w:snapToGrid w:val="0"/>
              <w:ind w:right="105" w:firstLine="42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投标文件中是否存在其他未实质性响应招标文件的内容</w:t>
            </w:r>
          </w:p>
        </w:tc>
        <w:tc>
          <w:tcPr>
            <w:tcW w:w="5962" w:type="dxa"/>
          </w:tcPr>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widowControl/>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1"/>
                <w:szCs w:val="21"/>
                <w:highlight w:val="none"/>
                <w14:textFill>
                  <w14:solidFill>
                    <w14:schemeClr w14:val="tx1"/>
                  </w14:solidFill>
                </w14:textFill>
              </w:rPr>
              <w:t>评审标准：不存在其他未实质性响应招标文件的内容。</w:t>
            </w:r>
          </w:p>
        </w:tc>
      </w:tr>
    </w:tbl>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0" w:firstLineChars="0"/>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1"/>
        <w:tabs>
          <w:tab w:val="left" w:pos="600"/>
        </w:tabs>
        <w:adjustRightInd w:val="0"/>
        <w:snapToGrid w:val="0"/>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p>
    <w:p>
      <w:pPr>
        <w:pStyle w:val="11"/>
        <w:tabs>
          <w:tab w:val="left" w:pos="600"/>
        </w:tabs>
        <w:adjustRightInd w:val="0"/>
        <w:snapToGrid w:val="0"/>
        <w:ind w:right="105" w:firstLine="480"/>
        <w:rPr>
          <w:rFonts w:asciiTheme="majorEastAsia" w:hAnsiTheme="majorEastAsia" w:eastAsiaTheme="majorEastAsia" w:cstheme="majorEastAsia"/>
          <w:color w:val="000000" w:themeColor="text1"/>
          <w:sz w:val="21"/>
          <w:szCs w:val="21"/>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 xml:space="preserve">4.2综合得分评分细则： </w:t>
      </w:r>
    </w:p>
    <w:tbl>
      <w:tblPr>
        <w:tblStyle w:val="31"/>
        <w:tblW w:w="978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7"/>
        <w:gridCol w:w="1192"/>
        <w:gridCol w:w="777"/>
        <w:gridCol w:w="6350"/>
        <w:gridCol w:w="10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3" w:hRule="atLeast"/>
          <w:jc w:val="center"/>
        </w:trPr>
        <w:tc>
          <w:tcPr>
            <w:tcW w:w="44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序号</w:t>
            </w:r>
          </w:p>
        </w:tc>
        <w:tc>
          <w:tcPr>
            <w:tcW w:w="1192"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评分因素及权重</w:t>
            </w:r>
          </w:p>
        </w:tc>
        <w:tc>
          <w:tcPr>
            <w:tcW w:w="77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分值</w:t>
            </w:r>
          </w:p>
        </w:tc>
        <w:tc>
          <w:tcPr>
            <w:tcW w:w="6350"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评分标准</w:t>
            </w:r>
          </w:p>
        </w:tc>
        <w:tc>
          <w:tcPr>
            <w:tcW w:w="1019"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1</w:t>
            </w:r>
          </w:p>
        </w:tc>
        <w:tc>
          <w:tcPr>
            <w:tcW w:w="1192" w:type="dxa"/>
            <w:vAlign w:val="center"/>
          </w:tcPr>
          <w:p>
            <w:pPr>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报价</w:t>
            </w:r>
            <w:r>
              <w:rPr>
                <w:rFonts w:hint="eastAsia" w:hAnsi="宋体" w:eastAsia="宋体" w:cs="宋体"/>
                <w:color w:val="000000" w:themeColor="text1"/>
                <w:sz w:val="21"/>
                <w:szCs w:val="21"/>
                <w:highlight w:val="none"/>
                <w:lang w:val="en-US" w:eastAsia="zh-CN"/>
                <w14:textFill>
                  <w14:solidFill>
                    <w14:schemeClr w14:val="tx1"/>
                  </w14:solidFill>
                </w14:textFill>
              </w:rPr>
              <w:t>45</w:t>
            </w:r>
            <w:r>
              <w:rPr>
                <w:rFonts w:hint="eastAsia" w:hAnsi="宋体" w:eastAsia="宋体" w:cs="宋体"/>
                <w:color w:val="000000" w:themeColor="text1"/>
                <w:sz w:val="21"/>
                <w:szCs w:val="21"/>
                <w:highlight w:val="none"/>
                <w14:textFill>
                  <w14:solidFill>
                    <w14:schemeClr w14:val="tx1"/>
                  </w14:solidFill>
                </w14:textFill>
              </w:rPr>
              <w:t>%</w:t>
            </w:r>
          </w:p>
        </w:tc>
        <w:tc>
          <w:tcPr>
            <w:tcW w:w="777" w:type="dxa"/>
            <w:vAlign w:val="center"/>
          </w:tcPr>
          <w:p>
            <w:pPr>
              <w:tabs>
                <w:tab w:val="left" w:pos="340"/>
              </w:tabs>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45</w:t>
            </w:r>
            <w:r>
              <w:rPr>
                <w:rFonts w:hint="eastAsia" w:hAnsi="宋体" w:eastAsia="宋体" w:cs="宋体"/>
                <w:color w:val="000000" w:themeColor="text1"/>
                <w:sz w:val="21"/>
                <w:szCs w:val="21"/>
                <w:highlight w:val="none"/>
                <w14:textFill>
                  <w14:solidFill>
                    <w14:schemeClr w14:val="tx1"/>
                  </w14:solidFill>
                </w14:textFill>
              </w:rPr>
              <w:t>分</w:t>
            </w:r>
          </w:p>
        </w:tc>
        <w:tc>
          <w:tcPr>
            <w:tcW w:w="6350" w:type="dxa"/>
            <w:vAlign w:val="center"/>
          </w:tcPr>
          <w:p>
            <w:pPr>
              <w:widowControl/>
              <w:numPr>
                <w:ilvl w:val="255"/>
                <w:numId w:val="0"/>
              </w:numPr>
              <w:spacing w:line="240" w:lineRule="auto"/>
              <w:ind w:right="105"/>
              <w:jc w:val="left"/>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1、符合招标文件要求的投标价格，</w:t>
            </w:r>
            <w:bookmarkStart w:id="15" w:name="OLE_LINK9"/>
            <w:r>
              <w:rPr>
                <w:rFonts w:hint="eastAsia" w:hAnsi="宋体" w:eastAsia="宋体" w:cs="宋体"/>
                <w:color w:val="000000" w:themeColor="text1"/>
                <w:sz w:val="21"/>
                <w:szCs w:val="21"/>
                <w:highlight w:val="none"/>
                <w:lang w:val="en-US" w:eastAsia="zh-CN"/>
                <w14:textFill>
                  <w14:solidFill>
                    <w14:schemeClr w14:val="tx1"/>
                  </w14:solidFill>
                </w14:textFill>
              </w:rPr>
              <w:t>投标报价的平均价</w:t>
            </w:r>
            <w:r>
              <w:rPr>
                <w:rFonts w:hint="eastAsia" w:hAnsi="宋体" w:eastAsia="宋体" w:cs="宋体"/>
                <w:color w:val="000000" w:themeColor="text1"/>
                <w:sz w:val="21"/>
                <w:szCs w:val="21"/>
                <w:highlight w:val="none"/>
                <w14:textFill>
                  <w14:solidFill>
                    <w14:schemeClr w14:val="tx1"/>
                  </w14:solidFill>
                </w14:textFill>
              </w:rPr>
              <w:t>为评标基准价，</w:t>
            </w:r>
            <w:bookmarkEnd w:id="15"/>
            <w:r>
              <w:rPr>
                <w:rFonts w:hint="eastAsia" w:hAnsi="宋体" w:eastAsia="宋体" w:cs="宋体"/>
                <w:color w:val="000000" w:themeColor="text1"/>
                <w:sz w:val="21"/>
                <w:szCs w:val="21"/>
                <w:highlight w:val="none"/>
                <w:lang w:val="en-US" w:eastAsia="zh-CN"/>
                <w14:textFill>
                  <w14:solidFill>
                    <w14:schemeClr w14:val="tx1"/>
                  </w14:solidFill>
                </w14:textFill>
              </w:rPr>
              <w:t>等于低于平均价的</w:t>
            </w:r>
            <w:r>
              <w:rPr>
                <w:rFonts w:hint="eastAsia" w:hAnsi="宋体" w:eastAsia="宋体" w:cs="宋体"/>
                <w:color w:val="000000" w:themeColor="text1"/>
                <w:sz w:val="21"/>
                <w:szCs w:val="21"/>
                <w:highlight w:val="none"/>
                <w14:textFill>
                  <w14:solidFill>
                    <w14:schemeClr w14:val="tx1"/>
                  </w14:solidFill>
                </w14:textFill>
              </w:rPr>
              <w:t>报价得分为满分。其他投标人的价格分，统一按照下列公式计算：投标报价得分=(评标基准价÷投标报价)×</w:t>
            </w:r>
            <w:r>
              <w:rPr>
                <w:rFonts w:hint="eastAsia" w:hAnsi="宋体" w:eastAsia="宋体" w:cs="宋体"/>
                <w:color w:val="000000" w:themeColor="text1"/>
                <w:sz w:val="21"/>
                <w:szCs w:val="21"/>
                <w:highlight w:val="none"/>
                <w:lang w:val="en-US" w:eastAsia="zh-CN"/>
                <w14:textFill>
                  <w14:solidFill>
                    <w14:schemeClr w14:val="tx1"/>
                  </w14:solidFill>
                </w14:textFill>
              </w:rPr>
              <w:t>45</w:t>
            </w:r>
            <w:r>
              <w:rPr>
                <w:rFonts w:hint="eastAsia" w:hAnsi="宋体" w:eastAsia="宋体" w:cs="宋体"/>
                <w:color w:val="000000" w:themeColor="text1"/>
                <w:sz w:val="21"/>
                <w:szCs w:val="21"/>
                <w:highlight w:val="none"/>
                <w14:textFill>
                  <w14:solidFill>
                    <w14:schemeClr w14:val="tx1"/>
                  </w14:solidFill>
                </w14:textFill>
              </w:rPr>
              <w:t>×100%，小数点后保留2位。</w:t>
            </w:r>
          </w:p>
          <w:p>
            <w:pPr>
              <w:widowControl/>
              <w:numPr>
                <w:ilvl w:val="255"/>
                <w:numId w:val="0"/>
              </w:numPr>
              <w:spacing w:line="240" w:lineRule="auto"/>
              <w:ind w:right="105"/>
              <w:jc w:val="left"/>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2、若</w:t>
            </w:r>
            <w:r>
              <w:rPr>
                <w:rFonts w:hint="eastAsia" w:hAnsi="宋体" w:eastAsia="宋体" w:cs="宋体"/>
                <w:color w:val="000000" w:themeColor="text1"/>
                <w:sz w:val="21"/>
                <w:szCs w:val="21"/>
                <w:highlight w:val="none"/>
                <w:lang w:val="en-US" w:eastAsia="zh-CN"/>
                <w14:textFill>
                  <w14:solidFill>
                    <w14:schemeClr w14:val="tx1"/>
                  </w14:solidFill>
                </w14:textFill>
              </w:rPr>
              <w:t>投标</w:t>
            </w:r>
            <w:r>
              <w:rPr>
                <w:rFonts w:hint="eastAsia" w:hAnsi="宋体" w:eastAsia="宋体" w:cs="宋体"/>
                <w:color w:val="000000" w:themeColor="text1"/>
                <w:sz w:val="21"/>
                <w:szCs w:val="21"/>
                <w:highlight w:val="none"/>
                <w14:textFill>
                  <w14:solidFill>
                    <w14:schemeClr w14:val="tx1"/>
                  </w14:solidFill>
                </w14:textFill>
              </w:rPr>
              <w:t>报价超出最高限价，</w:t>
            </w:r>
            <w:r>
              <w:rPr>
                <w:rFonts w:hint="eastAsia" w:hAnsi="宋体" w:eastAsia="宋体" w:cs="宋体"/>
                <w:color w:val="000000" w:themeColor="text1"/>
                <w:sz w:val="21"/>
                <w:szCs w:val="21"/>
                <w:highlight w:val="none"/>
                <w:lang w:val="en-US" w:eastAsia="zh-CN"/>
                <w14:textFill>
                  <w14:solidFill>
                    <w14:schemeClr w14:val="tx1"/>
                  </w14:solidFill>
                </w14:textFill>
              </w:rPr>
              <w:t>则投标无效。</w:t>
            </w:r>
          </w:p>
        </w:tc>
        <w:tc>
          <w:tcPr>
            <w:tcW w:w="1019" w:type="dxa"/>
            <w:vAlign w:val="center"/>
          </w:tcPr>
          <w:p>
            <w:pPr>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27" w:hRule="atLeast"/>
          <w:jc w:val="center"/>
        </w:trPr>
        <w:tc>
          <w:tcPr>
            <w:tcW w:w="44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2</w:t>
            </w:r>
          </w:p>
        </w:tc>
        <w:tc>
          <w:tcPr>
            <w:tcW w:w="1192"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服务方案3</w:t>
            </w:r>
            <w:r>
              <w:rPr>
                <w:rFonts w:hint="eastAsia" w:hAnsi="宋体" w:eastAsia="宋体" w:cs="宋体"/>
                <w:color w:val="000000" w:themeColor="text1"/>
                <w:sz w:val="21"/>
                <w:szCs w:val="21"/>
                <w:highlight w:val="none"/>
                <w14:textFill>
                  <w14:solidFill>
                    <w14:schemeClr w14:val="tx1"/>
                  </w14:solidFill>
                </w14:textFill>
              </w:rPr>
              <w:t>0%</w:t>
            </w:r>
          </w:p>
        </w:tc>
        <w:tc>
          <w:tcPr>
            <w:tcW w:w="77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30</w:t>
            </w:r>
            <w:r>
              <w:rPr>
                <w:rFonts w:hint="eastAsia" w:hAnsi="宋体" w:eastAsia="宋体" w:cs="宋体"/>
                <w:color w:val="000000" w:themeColor="text1"/>
                <w:sz w:val="21"/>
                <w:szCs w:val="21"/>
                <w:highlight w:val="none"/>
                <w14:textFill>
                  <w14:solidFill>
                    <w14:schemeClr w14:val="tx1"/>
                  </w14:solidFill>
                </w14:textFill>
              </w:rPr>
              <w:t>分</w:t>
            </w:r>
          </w:p>
        </w:tc>
        <w:tc>
          <w:tcPr>
            <w:tcW w:w="6350" w:type="dxa"/>
            <w:vAlign w:val="center"/>
          </w:tcPr>
          <w:p>
            <w:pPr>
              <w:widowControl/>
              <w:spacing w:line="240" w:lineRule="auto"/>
              <w:ind w:right="105" w:firstLine="0" w:firstLineChars="0"/>
              <w:jc w:val="left"/>
              <w:rPr>
                <w:rFonts w:hint="default"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各投标人根据技术要求和规范结合自己经营实际编写服务方案，最后由招标领导小组根据方案评分</w:t>
            </w:r>
          </w:p>
        </w:tc>
        <w:tc>
          <w:tcPr>
            <w:tcW w:w="1019" w:type="dxa"/>
            <w:vAlign w:val="center"/>
          </w:tcPr>
          <w:p>
            <w:pPr>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3</w:t>
            </w:r>
          </w:p>
        </w:tc>
        <w:tc>
          <w:tcPr>
            <w:tcW w:w="1192" w:type="dxa"/>
            <w:vAlign w:val="center"/>
          </w:tcPr>
          <w:p>
            <w:pPr>
              <w:widowControl/>
              <w:spacing w:line="240" w:lineRule="auto"/>
              <w:ind w:left="210" w:right="105" w:hanging="210" w:hangingChars="100"/>
              <w:jc w:val="both"/>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资信部分</w:t>
            </w:r>
            <w:r>
              <w:rPr>
                <w:rFonts w:hint="eastAsia" w:hAnsi="宋体" w:eastAsia="宋体" w:cs="宋体"/>
                <w:color w:val="000000" w:themeColor="text1"/>
                <w:sz w:val="21"/>
                <w:szCs w:val="21"/>
                <w:highlight w:val="none"/>
                <w14:textFill>
                  <w14:solidFill>
                    <w14:schemeClr w14:val="tx1"/>
                  </w14:solidFill>
                </w14:textFill>
              </w:rPr>
              <w:t>3%</w:t>
            </w:r>
          </w:p>
        </w:tc>
        <w:tc>
          <w:tcPr>
            <w:tcW w:w="77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3分</w:t>
            </w:r>
          </w:p>
        </w:tc>
        <w:tc>
          <w:tcPr>
            <w:tcW w:w="6350" w:type="dxa"/>
            <w:vAlign w:val="center"/>
          </w:tcPr>
          <w:p>
            <w:pPr>
              <w:widowControl/>
              <w:spacing w:line="240" w:lineRule="auto"/>
              <w:ind w:right="105" w:firstLine="0" w:firstLineChars="0"/>
              <w:rPr>
                <w:rFonts w:hint="default"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注册资本500万元（含）以上得3分；200万元（含）以上，500万元以下得2分；100万（含）以上，200万元以下得1分；100万元以下不得分。</w:t>
            </w:r>
          </w:p>
        </w:tc>
        <w:tc>
          <w:tcPr>
            <w:tcW w:w="1019"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4</w:t>
            </w:r>
          </w:p>
        </w:tc>
        <w:tc>
          <w:tcPr>
            <w:tcW w:w="1192" w:type="dxa"/>
            <w:vAlign w:val="center"/>
          </w:tcPr>
          <w:p>
            <w:pPr>
              <w:widowControl/>
              <w:spacing w:line="240" w:lineRule="auto"/>
              <w:ind w:right="105" w:firstLine="0" w:firstLineChars="0"/>
              <w:jc w:val="center"/>
              <w:rPr>
                <w:rFonts w:hint="eastAsia"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类似业绩</w:t>
            </w:r>
          </w:p>
          <w:p>
            <w:pPr>
              <w:widowControl/>
              <w:spacing w:line="240" w:lineRule="auto"/>
              <w:ind w:right="105" w:firstLine="0" w:firstLineChars="0"/>
              <w:jc w:val="center"/>
              <w:rPr>
                <w:rFonts w:hint="default"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12%</w:t>
            </w:r>
          </w:p>
        </w:tc>
        <w:tc>
          <w:tcPr>
            <w:tcW w:w="77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12</w:t>
            </w:r>
            <w:r>
              <w:rPr>
                <w:rFonts w:hint="eastAsia" w:hAnsi="宋体" w:eastAsia="宋体" w:cs="宋体"/>
                <w:color w:val="000000" w:themeColor="text1"/>
                <w:sz w:val="21"/>
                <w:szCs w:val="21"/>
                <w:highlight w:val="none"/>
                <w14:textFill>
                  <w14:solidFill>
                    <w14:schemeClr w14:val="tx1"/>
                  </w14:solidFill>
                </w14:textFill>
              </w:rPr>
              <w:t>分</w:t>
            </w:r>
          </w:p>
        </w:tc>
        <w:tc>
          <w:tcPr>
            <w:tcW w:w="6350" w:type="dxa"/>
            <w:vAlign w:val="center"/>
          </w:tcPr>
          <w:p>
            <w:pPr>
              <w:pStyle w:val="80"/>
              <w:widowControl/>
              <w:numPr>
                <w:ilvl w:val="0"/>
                <w:numId w:val="0"/>
              </w:numPr>
              <w:spacing w:line="280" w:lineRule="exact"/>
              <w:ind w:right="105" w:rightChars="0"/>
              <w:jc w:val="left"/>
              <w:rPr>
                <w:rFonts w:hint="default" w:eastAsiaTheme="minorEastAsia"/>
                <w:color w:val="000000" w:themeColor="text1"/>
                <w:highlight w:val="none"/>
                <w:lang w:val="en-US" w:eastAsia="zh-CN"/>
                <w14:textFill>
                  <w14:solidFill>
                    <w14:schemeClr w14:val="tx1"/>
                  </w14:solidFill>
                </w14:textFill>
              </w:rPr>
            </w:pPr>
            <w:r>
              <w:rPr>
                <w:rFonts w:hint="eastAsia"/>
                <w:color w:val="000000" w:themeColor="text1"/>
                <w:sz w:val="21"/>
                <w:szCs w:val="21"/>
                <w:highlight w:val="none"/>
                <w:lang w:val="en-US" w:eastAsia="zh-CN"/>
                <w14:textFill>
                  <w14:solidFill>
                    <w14:schemeClr w14:val="tx1"/>
                  </w14:solidFill>
                </w14:textFill>
              </w:rPr>
              <w:t>2021年1月1日以来具有东辰集团、富临集团、京东方、惠科等大型企业、国有企业、行政事业单位安保服务合同1份，得3分，最多得12分（同一集团同一项目不同年份的多份合同算1份</w:t>
            </w:r>
          </w:p>
        </w:tc>
        <w:tc>
          <w:tcPr>
            <w:tcW w:w="1019"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14:textFill>
                  <w14:solidFill>
                    <w14:schemeClr w14:val="tx1"/>
                  </w14:solidFill>
                </w14:textFill>
              </w:rPr>
              <w:t>5</w:t>
            </w:r>
          </w:p>
        </w:tc>
        <w:tc>
          <w:tcPr>
            <w:tcW w:w="1192" w:type="dxa"/>
            <w:shd w:val="clear" w:color="auto" w:fill="auto"/>
            <w:vAlign w:val="center"/>
          </w:tcPr>
          <w:p>
            <w:pPr>
              <w:widowControl/>
              <w:spacing w:line="240" w:lineRule="auto"/>
              <w:ind w:right="105" w:firstLine="0" w:firstLineChars="0"/>
              <w:jc w:val="center"/>
              <w:rPr>
                <w:rFonts w:hint="eastAsia"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答辩</w:t>
            </w:r>
          </w:p>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10</w:t>
            </w:r>
            <w:r>
              <w:rPr>
                <w:rFonts w:hint="eastAsia" w:hAnsi="宋体" w:eastAsia="宋体" w:cs="宋体"/>
                <w:color w:val="000000" w:themeColor="text1"/>
                <w:sz w:val="21"/>
                <w:szCs w:val="21"/>
                <w:highlight w:val="none"/>
                <w14:textFill>
                  <w14:solidFill>
                    <w14:schemeClr w14:val="tx1"/>
                  </w14:solidFill>
                </w14:textFill>
              </w:rPr>
              <w:t>%</w:t>
            </w:r>
          </w:p>
        </w:tc>
        <w:tc>
          <w:tcPr>
            <w:tcW w:w="777" w:type="dxa"/>
            <w:shd w:val="clear" w:color="auto" w:fill="auto"/>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10</w:t>
            </w:r>
            <w:r>
              <w:rPr>
                <w:rFonts w:hint="eastAsia" w:hAnsi="宋体" w:eastAsia="宋体" w:cs="宋体"/>
                <w:color w:val="000000" w:themeColor="text1"/>
                <w:sz w:val="21"/>
                <w:szCs w:val="21"/>
                <w:highlight w:val="none"/>
                <w14:textFill>
                  <w14:solidFill>
                    <w14:schemeClr w14:val="tx1"/>
                  </w14:solidFill>
                </w14:textFill>
              </w:rPr>
              <w:t>分</w:t>
            </w:r>
          </w:p>
        </w:tc>
        <w:tc>
          <w:tcPr>
            <w:tcW w:w="6350" w:type="dxa"/>
            <w:vAlign w:val="center"/>
          </w:tcPr>
          <w:p>
            <w:pPr>
              <w:widowControl/>
              <w:spacing w:line="240" w:lineRule="auto"/>
              <w:ind w:right="105" w:firstLine="0" w:firstLineChars="0"/>
              <w:jc w:val="left"/>
              <w:rPr>
                <w:rFonts w:hint="default" w:eastAsia="宋体"/>
                <w:color w:val="000000" w:themeColor="text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派驻项目负责人现场答辩情况</w:t>
            </w:r>
          </w:p>
        </w:tc>
        <w:tc>
          <w:tcPr>
            <w:tcW w:w="1019"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5" w:hRule="atLeast"/>
          <w:jc w:val="center"/>
        </w:trPr>
        <w:tc>
          <w:tcPr>
            <w:tcW w:w="447" w:type="dxa"/>
            <w:vAlign w:val="center"/>
          </w:tcPr>
          <w:p>
            <w:pPr>
              <w:widowControl/>
              <w:spacing w:line="240" w:lineRule="auto"/>
              <w:ind w:right="105" w:firstLine="0" w:firstLineChars="0"/>
              <w:jc w:val="center"/>
              <w:rPr>
                <w:rFonts w:hint="eastAsia"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6</w:t>
            </w:r>
          </w:p>
        </w:tc>
        <w:tc>
          <w:tcPr>
            <w:tcW w:w="1192" w:type="dxa"/>
            <w:shd w:val="clear" w:color="auto" w:fill="auto"/>
            <w:vAlign w:val="center"/>
          </w:tcPr>
          <w:p>
            <w:pPr>
              <w:widowControl/>
              <w:spacing w:line="240" w:lineRule="auto"/>
              <w:ind w:right="105" w:firstLine="0" w:firstLineChars="0"/>
              <w:jc w:val="center"/>
              <w:rPr>
                <w:rFonts w:hint="eastAsia" w:hAnsi="宋体" w:eastAsia="宋体" w:cs="宋体"/>
                <w:color w:val="000000" w:themeColor="text1"/>
                <w:sz w:val="21"/>
                <w:szCs w:val="21"/>
                <w:highlight w:val="none"/>
                <w:lang w:val="en-US" w:eastAsia="zh-CN"/>
                <w14:textFill>
                  <w14:solidFill>
                    <w14:schemeClr w14:val="tx1"/>
                  </w14:solidFill>
                </w14:textFill>
              </w:rPr>
            </w:pPr>
            <w:r>
              <w:rPr>
                <w:rFonts w:hint="eastAsia" w:hAnsi="宋体" w:eastAsia="宋体" w:cs="宋体"/>
                <w:color w:val="000000" w:themeColor="text1"/>
                <w:sz w:val="21"/>
                <w:szCs w:val="21"/>
                <w:highlight w:val="none"/>
                <w:lang w:val="en-US" w:eastAsia="zh-CN"/>
                <w14:textFill>
                  <w14:solidFill>
                    <w14:schemeClr w14:val="tx1"/>
                  </w14:solidFill>
                </w14:textFill>
              </w:rPr>
              <w:t>加分项</w:t>
            </w:r>
          </w:p>
          <w:p>
            <w:pPr>
              <w:widowControl/>
              <w:spacing w:line="240" w:lineRule="auto"/>
              <w:ind w:right="105" w:firstLine="0" w:firstLineChars="0"/>
              <w:jc w:val="center"/>
              <w:rPr>
                <w:rFonts w:hint="default" w:hAnsi="宋体" w:eastAsia="宋体" w:cs="宋体"/>
                <w:color w:val="000000" w:themeColor="text1"/>
                <w:sz w:val="21"/>
                <w:szCs w:val="21"/>
                <w:highlight w:val="none"/>
                <w:lang w:val="en-US" w:eastAsia="zh-CN"/>
                <w14:textFill>
                  <w14:solidFill>
                    <w14:schemeClr w14:val="tx1"/>
                  </w14:solidFill>
                </w14:textFill>
              </w:rPr>
            </w:pPr>
          </w:p>
        </w:tc>
        <w:tc>
          <w:tcPr>
            <w:tcW w:w="777" w:type="dxa"/>
            <w:shd w:val="clear" w:color="auto" w:fill="auto"/>
            <w:vAlign w:val="center"/>
          </w:tcPr>
          <w:p>
            <w:pPr>
              <w:widowControl/>
              <w:spacing w:line="240" w:lineRule="auto"/>
              <w:ind w:right="105" w:firstLine="0" w:firstLineChars="0"/>
              <w:jc w:val="center"/>
              <w:rPr>
                <w:rFonts w:hint="default" w:hAnsi="宋体" w:eastAsia="宋体" w:cs="宋体"/>
                <w:color w:val="000000" w:themeColor="text1"/>
                <w:sz w:val="21"/>
                <w:szCs w:val="21"/>
                <w:highlight w:val="none"/>
                <w:lang w:val="en-US" w:eastAsia="zh-CN"/>
                <w14:textFill>
                  <w14:solidFill>
                    <w14:schemeClr w14:val="tx1"/>
                  </w14:solidFill>
                </w14:textFill>
              </w:rPr>
            </w:pPr>
          </w:p>
        </w:tc>
        <w:tc>
          <w:tcPr>
            <w:tcW w:w="6350" w:type="dxa"/>
            <w:vAlign w:val="center"/>
          </w:tcPr>
          <w:p>
            <w:pPr>
              <w:widowControl/>
              <w:numPr>
                <w:ilvl w:val="0"/>
                <w:numId w:val="5"/>
              </w:numPr>
              <w:spacing w:line="240" w:lineRule="auto"/>
              <w:ind w:right="105" w:firstLine="0" w:firstLineChars="0"/>
              <w:jc w:val="left"/>
              <w:rPr>
                <w:rFonts w:hint="eastAsia"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积极参与社会公益活动（如社区志愿者服务、灾害救援协助等），提供相关证明材料，加1分。</w:t>
            </w:r>
          </w:p>
          <w:p>
            <w:pPr>
              <w:widowControl/>
              <w:numPr>
                <w:ilvl w:val="0"/>
                <w:numId w:val="5"/>
              </w:numPr>
              <w:spacing w:line="240" w:lineRule="auto"/>
              <w:ind w:right="105" w:firstLine="0" w:firstLineChars="0"/>
              <w:jc w:val="left"/>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在过往项目中，获得过政府部门、协会颁发的优质服务奖项，每次加1分；成功处理过重大事件并得到官方认可，每次加2分。累计最高加5分。</w:t>
            </w:r>
          </w:p>
          <w:p>
            <w:pPr>
              <w:widowControl/>
              <w:numPr>
                <w:ilvl w:val="0"/>
                <w:numId w:val="5"/>
              </w:numPr>
              <w:spacing w:line="240" w:lineRule="auto"/>
              <w:ind w:right="105" w:firstLine="0" w:firstLineChars="0"/>
              <w:jc w:val="left"/>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派驻的项目负责人有被聘为绵阳市物业管理专家的得2分。如有更高级别，在此项得分上加2分。</w:t>
            </w:r>
          </w:p>
          <w:p>
            <w:pPr>
              <w:widowControl/>
              <w:numPr>
                <w:ilvl w:val="0"/>
                <w:numId w:val="5"/>
              </w:numPr>
              <w:spacing w:line="240" w:lineRule="auto"/>
              <w:ind w:right="105" w:firstLine="0" w:firstLineChars="0"/>
              <w:jc w:val="left"/>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具有高空维修外墙资质，作业人员持有高空作业证得，每个证加1分，最多加4分。</w:t>
            </w:r>
          </w:p>
          <w:p>
            <w:pPr>
              <w:widowControl/>
              <w:numPr>
                <w:ilvl w:val="0"/>
                <w:numId w:val="5"/>
              </w:numPr>
              <w:spacing w:line="240" w:lineRule="auto"/>
              <w:ind w:right="105" w:firstLine="0" w:firstLineChars="0"/>
              <w:jc w:val="left"/>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投标人取得保安行业相关得管理体系认证的，3A级以上相关信用等级评定的，每项得2分，本项最多得4分。</w:t>
            </w:r>
          </w:p>
          <w:p>
            <w:pPr>
              <w:widowControl/>
              <w:numPr>
                <w:ilvl w:val="0"/>
                <w:numId w:val="5"/>
              </w:numPr>
              <w:spacing w:line="240" w:lineRule="auto"/>
              <w:ind w:right="105" w:firstLine="0" w:firstLineChars="0"/>
              <w:jc w:val="left"/>
              <w:rPr>
                <w:rFonts w:hint="default" w:eastAsia="宋体"/>
                <w:color w:val="000000" w:themeColor="text1"/>
                <w:sz w:val="21"/>
                <w:szCs w:val="21"/>
                <w:highlight w:val="none"/>
                <w:lang w:val="en-US" w:eastAsia="zh-CN"/>
                <w14:textFill>
                  <w14:solidFill>
                    <w14:schemeClr w14:val="tx1"/>
                  </w14:solidFill>
                </w14:textFill>
              </w:rPr>
            </w:pPr>
            <w:r>
              <w:rPr>
                <w:rFonts w:hint="eastAsia" w:eastAsia="宋体"/>
                <w:color w:val="000000" w:themeColor="text1"/>
                <w:sz w:val="21"/>
                <w:szCs w:val="21"/>
                <w:highlight w:val="none"/>
                <w:lang w:val="en-US" w:eastAsia="zh-CN"/>
                <w14:textFill>
                  <w14:solidFill>
                    <w14:schemeClr w14:val="tx1"/>
                  </w14:solidFill>
                </w14:textFill>
              </w:rPr>
              <w:t>投标人每月服务完成后，若能接受90天后付款一个月服务费得加5分；投标人每月服务完成后，若能接受60天后付款一个月服务费得加3分；投标人每月服务完成后，若能接受30天后付款一个月服务费得加1分。</w:t>
            </w:r>
          </w:p>
        </w:tc>
        <w:tc>
          <w:tcPr>
            <w:tcW w:w="1019" w:type="dxa"/>
            <w:vAlign w:val="center"/>
          </w:tcPr>
          <w:p>
            <w:pPr>
              <w:widowControl/>
              <w:spacing w:line="240" w:lineRule="auto"/>
              <w:ind w:right="105" w:firstLine="0" w:firstLineChars="0"/>
              <w:jc w:val="center"/>
              <w:rPr>
                <w:rFonts w:hAnsi="宋体" w:eastAsia="宋体" w:cs="宋体"/>
                <w:color w:val="000000" w:themeColor="text1"/>
                <w:sz w:val="21"/>
                <w:szCs w:val="21"/>
                <w:highlight w:val="none"/>
                <w14:textFill>
                  <w14:solidFill>
                    <w14:schemeClr w14:val="tx1"/>
                  </w14:solidFill>
                </w14:textFill>
              </w:rPr>
            </w:pPr>
          </w:p>
        </w:tc>
      </w:tr>
    </w:tbl>
    <w:p>
      <w:pPr>
        <w:spacing w:line="240" w:lineRule="auto"/>
        <w:ind w:right="105" w:firstLine="0" w:firstLineChars="0"/>
        <w:jc w:val="left"/>
        <w:rPr>
          <w:rFonts w:asciiTheme="majorEastAsia" w:hAnsiTheme="majorEastAsia" w:eastAsiaTheme="majorEastAsia" w:cstheme="majorEastAsia"/>
          <w:color w:val="000000" w:themeColor="text1"/>
          <w:sz w:val="21"/>
          <w:szCs w:val="21"/>
          <w:highlight w:val="none"/>
          <w14:textFill>
            <w14:solidFill>
              <w14:schemeClr w14:val="tx1"/>
            </w14:solidFill>
          </w14:textFill>
        </w:rPr>
      </w:pPr>
    </w:p>
    <w:p>
      <w:pPr>
        <w:pStyle w:val="11"/>
        <w:tabs>
          <w:tab w:val="left" w:pos="600"/>
        </w:tabs>
        <w:adjustRightInd w:val="0"/>
        <w:snapToGrid w:val="0"/>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注：以投标项目品名综合得分四舍五入，保留2位小数。</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5. 终止招标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招标人因自身原因或受外部因素影响，有权决定终止本次招标活动。投标人已发生的相关投标费用由投标人自行承担。</w:t>
      </w:r>
    </w:p>
    <w:p>
      <w:pPr>
        <w:ind w:right="105" w:firstLine="482"/>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6．废 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6.1本次采购活动中，出现下列情形之一的，予以废标：</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（1）符合专业条件的投标人或者对招标文件作实质响应的投标人不足三家的；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（2）出现影响采购公正的违法、违规</w:t>
      </w:r>
      <w:r>
        <w:rPr>
          <w:rFonts w:hint="eastAsia" w:asciiTheme="majorEastAsia" w:hAnsiTheme="majorEastAsia" w:eastAsiaTheme="majorEastAsia" w:cstheme="majorEastAsia"/>
          <w:color w:val="000000" w:themeColor="text1"/>
          <w:sz w:val="24"/>
          <w:szCs w:val="24"/>
          <w:highlight w:val="none"/>
          <w:lang w:eastAsia="zh-CN"/>
          <w14:textFill>
            <w14:solidFill>
              <w14:schemeClr w14:val="tx1"/>
            </w14:solidFill>
          </w14:textFill>
        </w:rPr>
        <w:t>、</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造假</w:t>
      </w: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行为的；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（3）投标人的报价均超过了采购预算，招标人不能支付的；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（4）因重大变故，采购任务取消的。</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若投标人对废标情形的原因和理由有疑问，可通过书面形式向招标采购单位提出咨询。</w:t>
      </w:r>
    </w:p>
    <w:p>
      <w:pPr>
        <w:ind w:right="105" w:firstLine="482"/>
        <w:rPr>
          <w:rFonts w:asciiTheme="majorEastAsia" w:hAnsiTheme="majorEastAsia" w:eastAsiaTheme="majorEastAsia" w:cstheme="majorEastAsia"/>
          <w:b/>
          <w:bCs/>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14:textFill>
            <w14:solidFill>
              <w14:schemeClr w14:val="tx1"/>
            </w14:solidFill>
          </w14:textFill>
        </w:rPr>
        <w:t>7．定标</w:t>
      </w:r>
      <w:bookmarkStart w:id="16" w:name="_Toc217446061"/>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7.1 定标原则</w:t>
      </w:r>
      <w:bookmarkEnd w:id="16"/>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：本项目根据评标小组推荐的中标候选人名单，原则上按每个项目综合得分由高到低顺位顺序确定中标人。</w:t>
      </w:r>
    </w:p>
    <w:p>
      <w:pPr>
        <w:ind w:right="105" w:firstLine="482"/>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b/>
          <w:color w:val="000000" w:themeColor="text1"/>
          <w:sz w:val="24"/>
          <w:szCs w:val="24"/>
          <w:highlight w:val="none"/>
          <w14:textFill>
            <w14:solidFill>
              <w14:schemeClr w14:val="tx1"/>
            </w14:solidFill>
          </w14:textFill>
        </w:rPr>
        <w:t>注意，招标人按照推荐的中标候选人顺序确定中标人，不能认为招标人只能确定第一中标候选人为中标人，招标人有正当理由的，可以确定后一顺序中标候选人为中标人，依此类推。</w:t>
      </w:r>
    </w:p>
    <w:p>
      <w:pPr>
        <w:ind w:right="105" w:firstLine="480"/>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7.2 招标采购单位原则上不退回投标人投标文件和其他投标资料。</w:t>
      </w:r>
    </w:p>
    <w:p>
      <w:pPr>
        <w:pStyle w:val="7"/>
        <w:ind w:right="105" w:firstLine="0" w:firstLineChars="0"/>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br w:type="page"/>
      </w:r>
    </w:p>
    <w:p>
      <w:pPr>
        <w:ind w:right="105" w:firstLine="0" w:firstLineChars="0"/>
        <w:jc w:val="center"/>
        <w:outlineLvl w:val="0"/>
        <w:rPr>
          <w:rFonts w:asciiTheme="majorEastAsia" w:hAnsiTheme="majorEastAsia" w:eastAsiaTheme="majorEastAsia" w:cstheme="majorEastAsia"/>
          <w:b/>
          <w:bCs/>
          <w:color w:val="000000" w:themeColor="text1"/>
          <w:sz w:val="32"/>
          <w:szCs w:val="32"/>
          <w:highlight w:val="none"/>
          <w14:textFill>
            <w14:solidFill>
              <w14:schemeClr w14:val="tx1"/>
            </w14:solidFill>
          </w14:textFill>
        </w:rPr>
      </w:pPr>
      <w:bookmarkStart w:id="17" w:name="_Toc4031"/>
      <w:r>
        <w:rPr>
          <w:rFonts w:hint="eastAsia" w:asciiTheme="majorEastAsia" w:hAnsiTheme="majorEastAsia" w:eastAsiaTheme="majorEastAsia" w:cstheme="majorEastAsia"/>
          <w:b/>
          <w:bCs/>
          <w:color w:val="000000" w:themeColor="text1"/>
          <w:sz w:val="32"/>
          <w:szCs w:val="32"/>
          <w:highlight w:val="none"/>
          <w14:textFill>
            <w14:solidFill>
              <w14:schemeClr w14:val="tx1"/>
            </w14:solidFill>
          </w14:textFill>
        </w:rPr>
        <w:t>第五章  投标文件格式</w:t>
      </w:r>
      <w:bookmarkEnd w:id="17"/>
    </w:p>
    <w:p>
      <w:pPr>
        <w:widowControl/>
        <w:snapToGrid w:val="0"/>
        <w:ind w:right="105" w:firstLine="482"/>
        <w:jc w:val="left"/>
        <w:rPr>
          <w:rFonts w:asciiTheme="majorEastAsia" w:hAnsiTheme="majorEastAsia" w:eastAsiaTheme="majorEastAsia" w:cstheme="majorEastAsia"/>
          <w:b/>
          <w:color w:val="000000" w:themeColor="text1"/>
          <w:sz w:val="24"/>
          <w:szCs w:val="24"/>
          <w:highlight w:val="none"/>
          <w14:textFill>
            <w14:solidFill>
              <w14:schemeClr w14:val="tx1"/>
            </w14:solidFill>
          </w14:textFill>
        </w:rPr>
      </w:pPr>
    </w:p>
    <w:p>
      <w:pPr>
        <w:widowControl/>
        <w:snapToGrid w:val="0"/>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一、本章所指投标文件格式，除格式中明确将该格式作为实质性要求的，一律不具有强制性，但是，投标文件相关资料和本章所指格式不一致时，由此对投标人带来不利的评标结果，由投标人自行承担。</w:t>
      </w:r>
    </w:p>
    <w:p>
      <w:pPr>
        <w:widowControl/>
        <w:snapToGrid w:val="0"/>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二、本章所指投标文件格式有关表格中的备注栏，由投标人根据自身投标情况作解释性说明，不作为必填项。</w:t>
      </w:r>
    </w:p>
    <w:p>
      <w:pPr>
        <w:widowControl/>
        <w:snapToGrid w:val="0"/>
        <w:ind w:right="105" w:firstLine="480"/>
        <w:jc w:val="left"/>
        <w:rPr>
          <w:rFonts w:asciiTheme="majorEastAsia" w:hAnsiTheme="majorEastAsia" w:eastAsiaTheme="majorEastAsia" w:cstheme="majorEastAsia"/>
          <w:color w:val="000000" w:themeColor="text1"/>
          <w:sz w:val="24"/>
          <w:szCs w:val="24"/>
          <w:highlight w:val="none"/>
          <w14:textFill>
            <w14:solidFill>
              <w14:schemeClr w14:val="tx1"/>
            </w14:solidFill>
          </w14:textFill>
        </w:rPr>
      </w:pPr>
      <w:r>
        <w:rPr>
          <w:rFonts w:hint="eastAsia" w:asciiTheme="majorEastAsia" w:hAnsiTheme="majorEastAsia" w:eastAsiaTheme="majorEastAsia" w:cstheme="majorEastAsia"/>
          <w:color w:val="000000" w:themeColor="text1"/>
          <w:sz w:val="24"/>
          <w:szCs w:val="24"/>
          <w:highlight w:val="none"/>
          <w14:textFill>
            <w14:solidFill>
              <w14:schemeClr w14:val="tx1"/>
            </w14:solidFill>
          </w14:textFill>
        </w:rPr>
        <w:t>三、本章所制投标文件格式中需要填写的相关内容事项，可能会与本采购项目无关，投标人在不改变投标文件核心意图且不影响本项目采购需求的前提下，可选择不填写相关内容，但需在适当位置予以说明。</w:t>
      </w: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bookmarkStart w:id="18" w:name="_Toc217446107"/>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p>
    <w:p>
      <w:pPr>
        <w:pStyle w:val="29"/>
        <w:rPr>
          <w:rFonts w:hAnsi="宋体" w:eastAsia="宋体" w:cs="宋体"/>
          <w:bCs/>
          <w:color w:val="000000" w:themeColor="text1"/>
          <w:sz w:val="28"/>
          <w:szCs w:val="28"/>
          <w:highlight w:val="none"/>
          <w14:textFill>
            <w14:solidFill>
              <w14:schemeClr w14:val="tx1"/>
            </w14:solidFill>
          </w14:textFill>
        </w:rPr>
      </w:pPr>
    </w:p>
    <w:p>
      <w:pPr>
        <w:pStyle w:val="29"/>
        <w:rPr>
          <w:rFonts w:hAnsi="宋体" w:eastAsia="宋体" w:cs="宋体"/>
          <w:bCs/>
          <w:color w:val="000000" w:themeColor="text1"/>
          <w:sz w:val="28"/>
          <w:szCs w:val="28"/>
          <w:highlight w:val="none"/>
          <w14:textFill>
            <w14:solidFill>
              <w14:schemeClr w14:val="tx1"/>
            </w14:solidFill>
          </w14:textFill>
        </w:rPr>
      </w:pPr>
    </w:p>
    <w:p>
      <w:pPr>
        <w:pStyle w:val="29"/>
        <w:rPr>
          <w:rFonts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int="eastAsia"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int="eastAsia" w:hAnsi="宋体" w:eastAsia="宋体" w:cs="宋体"/>
          <w:bCs/>
          <w:color w:val="000000" w:themeColor="text1"/>
          <w:sz w:val="28"/>
          <w:szCs w:val="28"/>
          <w:highlight w:val="none"/>
          <w14:textFill>
            <w14:solidFill>
              <w14:schemeClr w14:val="tx1"/>
            </w14:solidFill>
          </w14:textFill>
        </w:rPr>
      </w:pPr>
    </w:p>
    <w:p>
      <w:pPr>
        <w:widowControl/>
        <w:spacing w:line="360" w:lineRule="atLeast"/>
        <w:ind w:right="105" w:firstLine="0" w:firstLineChars="0"/>
        <w:rPr>
          <w:rFonts w:hAnsi="宋体" w:eastAsia="宋体" w:cs="宋体"/>
          <w:bCs/>
          <w:color w:val="000000" w:themeColor="text1"/>
          <w:sz w:val="28"/>
          <w:szCs w:val="28"/>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附件1：</w:t>
      </w:r>
      <w:r>
        <w:rPr>
          <w:rFonts w:hint="eastAsia" w:hAnsi="宋体" w:eastAsia="宋体" w:cs="宋体"/>
          <w:color w:val="000000" w:themeColor="text1"/>
          <w:sz w:val="28"/>
          <w:szCs w:val="28"/>
          <w:highlight w:val="none"/>
          <w14:textFill>
            <w14:solidFill>
              <w14:schemeClr w14:val="tx1"/>
            </w14:solidFill>
          </w14:textFill>
        </w:rPr>
        <w:t>商务部分投标文件封面</w:t>
      </w:r>
    </w:p>
    <w:p>
      <w:pPr>
        <w:tabs>
          <w:tab w:val="left" w:pos="1425"/>
        </w:tabs>
        <w:ind w:right="105"/>
        <w:jc w:val="both"/>
        <w:rPr>
          <w:rFonts w:hAnsi="宋体" w:eastAsia="宋体" w:cs="宋体"/>
          <w:b/>
          <w:color w:val="000000" w:themeColor="text1"/>
          <w:sz w:val="44"/>
          <w:highlight w:val="none"/>
          <w14:textFill>
            <w14:solidFill>
              <w14:schemeClr w14:val="tx1"/>
            </w14:solidFill>
          </w14:textFill>
        </w:rPr>
      </w:pPr>
    </w:p>
    <w:p>
      <w:pPr>
        <w:pStyle w:val="7"/>
        <w:ind w:right="105"/>
        <w:rPr>
          <w:rFonts w:ascii="宋体" w:hAnsi="宋体" w:eastAsia="宋体" w:cs="宋体"/>
          <w:color w:val="000000" w:themeColor="text1"/>
          <w:highlight w:val="none"/>
          <w14:textFill>
            <w14:solidFill>
              <w14:schemeClr w14:val="tx1"/>
            </w14:solidFill>
          </w14:textFill>
        </w:rPr>
      </w:pPr>
    </w:p>
    <w:p>
      <w:pPr>
        <w:ind w:right="105" w:firstLine="0" w:firstLineChars="0"/>
        <w:jc w:val="center"/>
        <w:rPr>
          <w:rFonts w:hAnsi="宋体" w:eastAsia="宋体" w:cs="宋体"/>
          <w:b/>
          <w:bCs/>
          <w:color w:val="000000" w:themeColor="text1"/>
          <w:kern w:val="44"/>
          <w:sz w:val="44"/>
          <w:szCs w:val="44"/>
          <w:highlight w:val="none"/>
          <w14:textFill>
            <w14:solidFill>
              <w14:schemeClr w14:val="tx1"/>
            </w14:solidFill>
          </w14:textFill>
        </w:rPr>
      </w:pPr>
    </w:p>
    <w:p>
      <w:pPr>
        <w:pStyle w:val="8"/>
        <w:ind w:right="105" w:firstLine="420"/>
        <w:rPr>
          <w:rFonts w:hAnsi="宋体" w:eastAsia="宋体" w:cs="宋体"/>
          <w:b/>
          <w:bCs/>
          <w:color w:val="000000" w:themeColor="text1"/>
          <w:sz w:val="36"/>
          <w:szCs w:val="36"/>
          <w:highlight w:val="none"/>
          <w14:textFill>
            <w14:solidFill>
              <w14:schemeClr w14:val="tx1"/>
            </w14:solidFill>
          </w14:textFill>
        </w:rPr>
      </w:pPr>
      <w:r>
        <w:rPr>
          <w:rFonts w:hint="eastAsia" w:hAnsi="宋体" w:eastAsia="宋体" w:cs="宋体"/>
          <w:b/>
          <w:bCs/>
          <w:color w:val="000000" w:themeColor="text1"/>
          <w:sz w:val="36"/>
          <w:szCs w:val="36"/>
          <w:highlight w:val="none"/>
          <w:lang w:val="zh-TW" w:eastAsia="zh-TW"/>
          <w14:textFill>
            <w14:solidFill>
              <w14:schemeClr w14:val="tx1"/>
            </w14:solidFill>
          </w14:textFill>
        </w:rPr>
        <w:t>2025—2027年东辰集团</w:t>
      </w:r>
      <w:r>
        <w:rPr>
          <w:rFonts w:hint="eastAsia" w:hAnsi="宋体" w:eastAsia="宋体" w:cs="宋体"/>
          <w:b/>
          <w:bCs/>
          <w:color w:val="000000" w:themeColor="text1"/>
          <w:sz w:val="36"/>
          <w:szCs w:val="36"/>
          <w:highlight w:val="none"/>
          <w:lang w:val="en-US" w:eastAsia="zh-CN"/>
          <w14:textFill>
            <w14:solidFill>
              <w14:schemeClr w14:val="tx1"/>
            </w14:solidFill>
          </w14:textFill>
        </w:rPr>
        <w:t>住宅物业</w:t>
      </w:r>
      <w:r>
        <w:rPr>
          <w:rFonts w:hint="eastAsia" w:hAnsi="宋体" w:eastAsia="宋体" w:cs="宋体"/>
          <w:b/>
          <w:bCs/>
          <w:color w:val="000000" w:themeColor="text1"/>
          <w:sz w:val="36"/>
          <w:szCs w:val="36"/>
          <w:highlight w:val="none"/>
          <w:lang w:val="zh-TW" w:eastAsia="zh-TW"/>
          <w14:textFill>
            <w14:solidFill>
              <w14:schemeClr w14:val="tx1"/>
            </w14:solidFill>
          </w14:textFill>
        </w:rPr>
        <w:t>板块保安服务采购</w:t>
      </w:r>
    </w:p>
    <w:p>
      <w:pPr>
        <w:tabs>
          <w:tab w:val="left" w:pos="1425"/>
        </w:tabs>
        <w:ind w:right="105" w:firstLine="1928"/>
        <w:rPr>
          <w:rFonts w:hAnsi="宋体" w:eastAsia="宋体" w:cs="宋体"/>
          <w:b/>
          <w:color w:val="000000" w:themeColor="text1"/>
          <w:sz w:val="96"/>
          <w:szCs w:val="96"/>
          <w:highlight w:val="none"/>
          <w14:textFill>
            <w14:solidFill>
              <w14:schemeClr w14:val="tx1"/>
            </w14:solidFill>
          </w14:textFill>
        </w:rPr>
      </w:pPr>
      <w:r>
        <w:rPr>
          <w:rFonts w:hint="eastAsia" w:hAnsi="宋体" w:eastAsia="宋体" w:cs="宋体"/>
          <w:b/>
          <w:color w:val="000000" w:themeColor="text1"/>
          <w:sz w:val="96"/>
          <w:szCs w:val="96"/>
          <w:highlight w:val="none"/>
          <w14:textFill>
            <w14:solidFill>
              <w14:schemeClr w14:val="tx1"/>
            </w14:solidFill>
          </w14:textFill>
        </w:rPr>
        <w:t>投 标 文 件</w:t>
      </w:r>
    </w:p>
    <w:p>
      <w:pPr>
        <w:tabs>
          <w:tab w:val="left" w:pos="1425"/>
        </w:tabs>
        <w:ind w:right="105" w:firstLine="0" w:firstLineChars="0"/>
        <w:jc w:val="center"/>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商务技术部分（正本）</w:t>
      </w:r>
    </w:p>
    <w:p>
      <w:pPr>
        <w:tabs>
          <w:tab w:val="left" w:pos="1425"/>
        </w:tabs>
        <w:ind w:right="105" w:firstLine="560"/>
        <w:jc w:val="center"/>
        <w:rPr>
          <w:rFonts w:hAnsi="宋体" w:eastAsia="宋体" w:cs="宋体"/>
          <w:color w:val="000000" w:themeColor="text1"/>
          <w:sz w:val="28"/>
          <w:highlight w:val="none"/>
          <w14:textFill>
            <w14:solidFill>
              <w14:schemeClr w14:val="tx1"/>
            </w14:solidFill>
          </w14:textFill>
        </w:rPr>
      </w:pPr>
    </w:p>
    <w:p>
      <w:pPr>
        <w:tabs>
          <w:tab w:val="left" w:pos="1425"/>
        </w:tabs>
        <w:ind w:right="105" w:firstLine="560"/>
        <w:rPr>
          <w:rFonts w:hAnsi="宋体" w:eastAsia="宋体" w:cs="宋体"/>
          <w:color w:val="000000" w:themeColor="text1"/>
          <w:sz w:val="28"/>
          <w:highlight w:val="none"/>
          <w14:textFill>
            <w14:solidFill>
              <w14:schemeClr w14:val="tx1"/>
            </w14:solidFill>
          </w14:textFill>
        </w:rPr>
      </w:pPr>
    </w:p>
    <w:p>
      <w:pPr>
        <w:tabs>
          <w:tab w:val="left" w:pos="1425"/>
        </w:tabs>
        <w:ind w:right="105" w:firstLine="560"/>
        <w:rPr>
          <w:rFonts w:hAnsi="宋体" w:eastAsia="宋体" w:cs="宋体"/>
          <w:color w:val="000000" w:themeColor="text1"/>
          <w:sz w:val="28"/>
          <w:highlight w:val="none"/>
          <w14:textFill>
            <w14:solidFill>
              <w14:schemeClr w14:val="tx1"/>
            </w14:solidFill>
          </w14:textFill>
        </w:rPr>
      </w:pPr>
    </w:p>
    <w:p>
      <w:pPr>
        <w:pStyle w:val="29"/>
        <w:ind w:right="105" w:firstLine="280"/>
        <w:rPr>
          <w:rFonts w:ascii="宋体" w:hAnsi="宋体" w:eastAsia="宋体" w:cs="宋体"/>
          <w:color w:val="000000" w:themeColor="text1"/>
          <w:sz w:val="28"/>
          <w:highlight w:val="none"/>
          <w14:textFill>
            <w14:solidFill>
              <w14:schemeClr w14:val="tx1"/>
            </w14:solidFill>
          </w14:textFill>
        </w:rPr>
      </w:pPr>
    </w:p>
    <w:p>
      <w:pPr>
        <w:pStyle w:val="29"/>
        <w:ind w:right="105" w:firstLine="280"/>
        <w:rPr>
          <w:rFonts w:ascii="宋体" w:hAnsi="宋体" w:eastAsia="宋体" w:cs="宋体"/>
          <w:color w:val="000000" w:themeColor="text1"/>
          <w:sz w:val="28"/>
          <w:highlight w:val="none"/>
          <w14:textFill>
            <w14:solidFill>
              <w14:schemeClr w14:val="tx1"/>
            </w14:solidFill>
          </w14:textFill>
        </w:rPr>
      </w:pPr>
    </w:p>
    <w:p>
      <w:pPr>
        <w:tabs>
          <w:tab w:val="left" w:pos="1425"/>
        </w:tabs>
        <w:spacing w:line="480" w:lineRule="auto"/>
        <w:ind w:right="105" w:firstLine="560"/>
        <w:rPr>
          <w:rFonts w:hint="default" w:hAnsi="宋体" w:eastAsia="宋体" w:cs="宋体"/>
          <w:color w:val="000000" w:themeColor="text1"/>
          <w:sz w:val="28"/>
          <w:highlight w:val="none"/>
          <w:lang w:val="en-US" w:eastAsia="zh-CN"/>
          <w14:textFill>
            <w14:solidFill>
              <w14:schemeClr w14:val="tx1"/>
            </w14:solidFill>
          </w14:textFill>
        </w:rPr>
      </w:pPr>
      <w:r>
        <w:rPr>
          <w:rFonts w:hint="eastAsia" w:ascii="宋体" w:hAnsi="宋体" w:eastAsia="宋体" w:cs="宋体"/>
          <w:color w:val="000000" w:themeColor="text1"/>
          <w:sz w:val="28"/>
          <w:highlight w:val="none"/>
          <w14:textFill>
            <w14:solidFill>
              <w14:schemeClr w14:val="tx1"/>
            </w14:solidFill>
          </w14:textFill>
        </w:rPr>
        <w:t>项目名称</w:t>
      </w:r>
      <w:r>
        <w:rPr>
          <w:rFonts w:hint="eastAsia" w:hAnsi="宋体" w:eastAsia="宋体" w:cs="宋体"/>
          <w:color w:val="000000" w:themeColor="text1"/>
          <w:sz w:val="28"/>
          <w:highlight w:val="none"/>
          <w14:textFill>
            <w14:solidFill>
              <w14:schemeClr w14:val="tx1"/>
            </w14:solidFill>
          </w14:textFill>
        </w:rPr>
        <w:t>：</w:t>
      </w:r>
      <w:r>
        <w:rPr>
          <w:rFonts w:hint="eastAsia" w:hAnsi="宋体" w:eastAsia="宋体" w:cs="宋体"/>
          <w:color w:val="000000" w:themeColor="text1"/>
          <w:sz w:val="28"/>
          <w:szCs w:val="28"/>
          <w:highlight w:val="non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lang w:val="en-US" w:eastAsia="zh-CN"/>
          <w14:textFill>
            <w14:solidFill>
              <w14:schemeClr w14:val="tx1"/>
            </w14:solidFill>
          </w14:textFill>
        </w:rPr>
        <w:t>住宅物业</w:t>
      </w:r>
      <w:r>
        <w:rPr>
          <w:rFonts w:hint="eastAsia" w:hAnsi="宋体" w:eastAsia="宋体" w:cs="宋体"/>
          <w:color w:val="000000" w:themeColor="text1"/>
          <w:sz w:val="28"/>
          <w:szCs w:val="28"/>
          <w:highlight w:val="none"/>
          <w:lang w:val="zh-TW" w:eastAsia="zh-TW"/>
          <w14:textFill>
            <w14:solidFill>
              <w14:schemeClr w14:val="tx1"/>
            </w14:solidFill>
          </w14:textFill>
        </w:rPr>
        <w:t>板块保安服务采购</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投标文件内容：商务技术部分</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投标人（盖章）：</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法定代表人或委托代理人（签字或盖章）</w:t>
      </w:r>
    </w:p>
    <w:p>
      <w:pPr>
        <w:ind w:right="105" w:firstLine="0" w:firstLineChars="0"/>
        <w:outlineLvl w:val="2"/>
        <w:rPr>
          <w:rFonts w:hint="eastAsia" w:hAnsi="宋体" w:eastAsia="宋体" w:cs="宋体"/>
          <w:bCs/>
          <w:color w:val="000000" w:themeColor="text1"/>
          <w:sz w:val="28"/>
          <w:szCs w:val="28"/>
          <w:highlight w:val="none"/>
          <w14:textFill>
            <w14:solidFill>
              <w14:schemeClr w14:val="tx1"/>
            </w14:solidFill>
          </w14:textFill>
        </w:rPr>
      </w:pPr>
    </w:p>
    <w:p>
      <w:pPr>
        <w:pStyle w:val="29"/>
        <w:rPr>
          <w:rFonts w:hint="eastAsia" w:hAnsi="宋体" w:eastAsia="宋体" w:cs="宋体"/>
          <w:bCs/>
          <w:color w:val="000000" w:themeColor="text1"/>
          <w:sz w:val="28"/>
          <w:szCs w:val="28"/>
          <w:highlight w:val="none"/>
          <w14:textFill>
            <w14:solidFill>
              <w14:schemeClr w14:val="tx1"/>
            </w14:solidFill>
          </w14:textFill>
        </w:rPr>
      </w:pPr>
    </w:p>
    <w:p>
      <w:pPr>
        <w:pStyle w:val="29"/>
        <w:rPr>
          <w:rFonts w:hint="eastAsia" w:hAnsi="宋体" w:eastAsia="宋体" w:cs="宋体"/>
          <w:bCs/>
          <w:color w:val="000000" w:themeColor="text1"/>
          <w:sz w:val="28"/>
          <w:szCs w:val="28"/>
          <w:highlight w:val="none"/>
          <w14:textFill>
            <w14:solidFill>
              <w14:schemeClr w14:val="tx1"/>
            </w14:solidFill>
          </w14:textFill>
        </w:rPr>
      </w:pPr>
    </w:p>
    <w:p>
      <w:pPr>
        <w:pStyle w:val="29"/>
        <w:rPr>
          <w:rFonts w:hint="eastAsia" w:hAnsi="宋体" w:eastAsia="宋体" w:cs="宋体"/>
          <w:bCs/>
          <w:color w:val="000000" w:themeColor="text1"/>
          <w:sz w:val="28"/>
          <w:szCs w:val="28"/>
          <w:highlight w:val="none"/>
          <w14:textFill>
            <w14:solidFill>
              <w14:schemeClr w14:val="tx1"/>
            </w14:solidFill>
          </w14:textFill>
        </w:rPr>
      </w:pPr>
    </w:p>
    <w:p>
      <w:pPr>
        <w:pStyle w:val="29"/>
        <w:rPr>
          <w:rFonts w:hint="eastAsia" w:hAnsi="宋体" w:eastAsia="宋体" w:cs="宋体"/>
          <w:bCs/>
          <w:color w:val="000000" w:themeColor="text1"/>
          <w:sz w:val="28"/>
          <w:szCs w:val="28"/>
          <w:highlight w:val="none"/>
          <w14:textFill>
            <w14:solidFill>
              <w14:schemeClr w14:val="tx1"/>
            </w14:solidFill>
          </w14:textFill>
        </w:rPr>
      </w:pPr>
    </w:p>
    <w:p>
      <w:pPr>
        <w:ind w:right="105" w:firstLine="0" w:firstLineChars="0"/>
        <w:outlineLvl w:val="2"/>
        <w:rPr>
          <w:rFonts w:hAnsi="宋体" w:eastAsia="宋体" w:cs="宋体"/>
          <w:color w:val="000000" w:themeColor="text1"/>
          <w:spacing w:val="5"/>
          <w:sz w:val="26"/>
          <w:szCs w:val="26"/>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附件2：</w:t>
      </w:r>
    </w:p>
    <w:p>
      <w:pPr>
        <w:ind w:right="105" w:firstLine="0" w:firstLineChars="0"/>
        <w:jc w:val="center"/>
        <w:rPr>
          <w:rFonts w:hAnsi="宋体" w:eastAsia="宋体" w:cs="宋体"/>
          <w:b/>
          <w:color w:val="000000" w:themeColor="text1"/>
          <w:sz w:val="32"/>
          <w:szCs w:val="32"/>
          <w:highlight w:val="none"/>
          <w14:textFill>
            <w14:solidFill>
              <w14:schemeClr w14:val="tx1"/>
            </w14:solidFill>
          </w14:textFill>
        </w:rPr>
      </w:pPr>
      <w:r>
        <w:rPr>
          <w:rFonts w:hint="eastAsia" w:hAnsi="宋体" w:eastAsia="宋体" w:cs="宋体"/>
          <w:b/>
          <w:color w:val="000000" w:themeColor="text1"/>
          <w:sz w:val="32"/>
          <w:szCs w:val="32"/>
          <w:highlight w:val="none"/>
          <w14:textFill>
            <w14:solidFill>
              <w14:schemeClr w14:val="tx1"/>
            </w14:solidFill>
          </w14:textFill>
        </w:rPr>
        <w:t>投标报价表</w:t>
      </w:r>
    </w:p>
    <w:p>
      <w:pPr>
        <w:pStyle w:val="15"/>
        <w:spacing w:line="480" w:lineRule="exact"/>
        <w:ind w:right="105" w:firstLine="0" w:firstLineChars="0"/>
        <w:rPr>
          <w:rFonts w:ascii="宋体" w:hAnsi="宋体" w:eastAsia="宋体" w:cs="宋体"/>
          <w:bCs/>
          <w:snapToGrid w:val="0"/>
          <w:color w:val="000000" w:themeColor="text1"/>
          <w:sz w:val="24"/>
          <w:szCs w:val="24"/>
          <w:highlight w:val="none"/>
          <w14:textFill>
            <w14:solidFill>
              <w14:schemeClr w14:val="tx1"/>
            </w14:solidFill>
          </w14:textFill>
        </w:rPr>
      </w:pPr>
      <w:r>
        <w:rPr>
          <w:rFonts w:hint="eastAsia" w:ascii="宋体" w:hAnsi="宋体" w:eastAsia="宋体" w:cs="宋体"/>
          <w:bCs/>
          <w:snapToGrid w:val="0"/>
          <w:color w:val="000000" w:themeColor="text1"/>
          <w:sz w:val="24"/>
          <w:szCs w:val="24"/>
          <w:highlight w:val="none"/>
          <w14:textFill>
            <w14:solidFill>
              <w14:schemeClr w14:val="tx1"/>
            </w14:solidFill>
          </w14:textFill>
        </w:rPr>
        <w:t>项目名称：</w:t>
      </w:r>
      <w:r>
        <w:rPr>
          <w:rFonts w:hint="eastAsia" w:hAnsi="宋体" w:eastAsia="宋体" w:cs="宋体"/>
          <w:color w:val="000000" w:themeColor="text1"/>
          <w:sz w:val="24"/>
          <w:szCs w:val="24"/>
          <w:highlight w:val="none"/>
          <w:lang w:val="zh-TW" w:eastAsia="zh-TW"/>
          <w14:textFill>
            <w14:solidFill>
              <w14:schemeClr w14:val="tx1"/>
            </w14:solidFill>
          </w14:textFill>
        </w:rPr>
        <w:t>2025—2027年东辰集团</w:t>
      </w:r>
      <w:r>
        <w:rPr>
          <w:rFonts w:hint="eastAsia" w:hAnsi="宋体" w:eastAsia="宋体" w:cs="宋体"/>
          <w:color w:val="000000" w:themeColor="text1"/>
          <w:sz w:val="24"/>
          <w:szCs w:val="24"/>
          <w:highlight w:val="none"/>
          <w:lang w:val="en-US" w:eastAsia="zh-CN"/>
          <w14:textFill>
            <w14:solidFill>
              <w14:schemeClr w14:val="tx1"/>
            </w14:solidFill>
          </w14:textFill>
        </w:rPr>
        <w:t>住宅物业</w:t>
      </w:r>
      <w:r>
        <w:rPr>
          <w:rFonts w:hint="eastAsia" w:hAnsi="宋体" w:eastAsia="宋体" w:cs="宋体"/>
          <w:color w:val="000000" w:themeColor="text1"/>
          <w:sz w:val="24"/>
          <w:szCs w:val="24"/>
          <w:highlight w:val="none"/>
          <w:lang w:val="zh-TW" w:eastAsia="zh-TW"/>
          <w14:textFill>
            <w14:solidFill>
              <w14:schemeClr w14:val="tx1"/>
            </w14:solidFill>
          </w14:textFill>
        </w:rPr>
        <w:t>板块保安服务采购</w:t>
      </w:r>
    </w:p>
    <w:tbl>
      <w:tblPr>
        <w:tblStyle w:val="31"/>
        <w:tblW w:w="919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
        <w:gridCol w:w="2897"/>
        <w:gridCol w:w="763"/>
        <w:gridCol w:w="729"/>
        <w:gridCol w:w="840"/>
        <w:gridCol w:w="1905"/>
        <w:gridCol w:w="15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8" w:hRule="atLeast"/>
          <w:jc w:val="center"/>
        </w:trPr>
        <w:tc>
          <w:tcPr>
            <w:tcW w:w="467" w:type="dxa"/>
            <w:noWrap/>
            <w:vAlign w:val="center"/>
          </w:tcPr>
          <w:p>
            <w:pPr>
              <w:widowControl/>
              <w:spacing w:line="360" w:lineRule="atLeast"/>
              <w:ind w:right="105" w:firstLine="0" w:firstLineChars="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序号</w:t>
            </w:r>
          </w:p>
        </w:tc>
        <w:tc>
          <w:tcPr>
            <w:tcW w:w="2897" w:type="dxa"/>
            <w:noWrap/>
            <w:vAlign w:val="center"/>
          </w:tcPr>
          <w:p>
            <w:pPr>
              <w:widowControl/>
              <w:spacing w:line="360" w:lineRule="atLeast"/>
              <w:ind w:right="105" w:firstLine="48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项目</w:t>
            </w:r>
            <w:r>
              <w:rPr>
                <w:rFonts w:hint="eastAsia" w:hAnsi="宋体" w:eastAsia="宋体" w:cs="宋体"/>
                <w:color w:val="000000" w:themeColor="text1"/>
                <w:sz w:val="24"/>
                <w:highlight w:val="none"/>
                <w14:textFill>
                  <w14:solidFill>
                    <w14:schemeClr w14:val="tx1"/>
                  </w14:solidFill>
                </w14:textFill>
              </w:rPr>
              <w:t>品名</w:t>
            </w:r>
          </w:p>
        </w:tc>
        <w:tc>
          <w:tcPr>
            <w:tcW w:w="763" w:type="dxa"/>
            <w:noWrap/>
            <w:vAlign w:val="center"/>
          </w:tcPr>
          <w:p>
            <w:pPr>
              <w:widowControl/>
              <w:spacing w:line="360" w:lineRule="atLeast"/>
              <w:ind w:right="105" w:firstLine="0" w:firstLineChars="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数量</w:t>
            </w:r>
          </w:p>
        </w:tc>
        <w:tc>
          <w:tcPr>
            <w:tcW w:w="729" w:type="dxa"/>
            <w:noWrap/>
            <w:vAlign w:val="center"/>
          </w:tcPr>
          <w:p>
            <w:pPr>
              <w:widowControl/>
              <w:spacing w:line="360" w:lineRule="atLeast"/>
              <w:ind w:right="105" w:firstLine="0" w:firstLineChars="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单位</w:t>
            </w:r>
          </w:p>
        </w:tc>
        <w:tc>
          <w:tcPr>
            <w:tcW w:w="840" w:type="dxa"/>
            <w:noWrap/>
            <w:vAlign w:val="center"/>
          </w:tcPr>
          <w:p>
            <w:pPr>
              <w:widowControl/>
              <w:spacing w:line="360" w:lineRule="atLeast"/>
              <w:ind w:right="105" w:firstLine="0" w:firstLineChars="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税率</w:t>
            </w:r>
          </w:p>
        </w:tc>
        <w:tc>
          <w:tcPr>
            <w:tcW w:w="1905" w:type="dxa"/>
            <w:noWrap/>
            <w:vAlign w:val="center"/>
          </w:tcPr>
          <w:p>
            <w:pPr>
              <w:widowControl/>
              <w:spacing w:line="360" w:lineRule="atLeast"/>
              <w:ind w:right="105" w:firstLine="0" w:firstLineChars="0"/>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投标总价</w:t>
            </w:r>
            <w:r>
              <w:rPr>
                <w:rFonts w:hint="eastAsia" w:hAnsi="宋体" w:eastAsia="宋体" w:cs="宋体"/>
                <w:color w:val="000000" w:themeColor="text1"/>
                <w:sz w:val="24"/>
                <w:highlight w:val="none"/>
                <w:lang w:val="en-US" w:eastAsia="zh-CN"/>
                <w14:textFill>
                  <w14:solidFill>
                    <w14:schemeClr w14:val="tx1"/>
                  </w14:solidFill>
                </w14:textFill>
              </w:rPr>
              <w:t xml:space="preserve">   </w:t>
            </w:r>
            <w:r>
              <w:rPr>
                <w:rFonts w:hint="eastAsia" w:hAnsi="宋体" w:eastAsia="宋体" w:cs="宋体"/>
                <w:color w:val="000000" w:themeColor="text1"/>
                <w:sz w:val="24"/>
                <w:highlight w:val="none"/>
                <w:lang w:eastAsia="zh-CN"/>
                <w14:textFill>
                  <w14:solidFill>
                    <w14:schemeClr w14:val="tx1"/>
                  </w14:solidFill>
                </w14:textFill>
              </w:rPr>
              <w:t>（</w:t>
            </w:r>
            <w:r>
              <w:rPr>
                <w:rFonts w:hint="eastAsia" w:hAnsi="宋体" w:eastAsia="宋体" w:cs="宋体"/>
                <w:color w:val="000000" w:themeColor="text1"/>
                <w:sz w:val="24"/>
                <w:highlight w:val="none"/>
                <w14:textFill>
                  <w14:solidFill>
                    <w14:schemeClr w14:val="tx1"/>
                  </w14:solidFill>
                </w14:textFill>
              </w:rPr>
              <w:t>万</w:t>
            </w:r>
            <w:r>
              <w:rPr>
                <w:rFonts w:hint="eastAsia" w:hAnsi="宋体" w:eastAsia="宋体" w:cs="宋体"/>
                <w:color w:val="000000" w:themeColor="text1"/>
                <w:sz w:val="24"/>
                <w:highlight w:val="none"/>
                <w:lang w:eastAsia="zh-CN"/>
                <w14:textFill>
                  <w14:solidFill>
                    <w14:schemeClr w14:val="tx1"/>
                  </w14:solidFill>
                </w14:textFill>
              </w:rPr>
              <w:t>元；</w:t>
            </w:r>
            <w:r>
              <w:rPr>
                <w:rFonts w:hint="eastAsia" w:hAnsi="宋体" w:eastAsia="宋体" w:cs="宋体"/>
                <w:color w:val="000000" w:themeColor="text1"/>
                <w:sz w:val="24"/>
                <w:highlight w:val="none"/>
                <w14:textFill>
                  <w14:solidFill>
                    <w14:schemeClr w14:val="tx1"/>
                  </w14:solidFill>
                </w14:textFill>
              </w:rPr>
              <w:t>含税）</w:t>
            </w:r>
          </w:p>
        </w:tc>
        <w:tc>
          <w:tcPr>
            <w:tcW w:w="1595" w:type="dxa"/>
            <w:noWrap/>
            <w:vAlign w:val="center"/>
          </w:tcPr>
          <w:p>
            <w:pPr>
              <w:widowControl/>
              <w:spacing w:line="360" w:lineRule="atLeast"/>
              <w:ind w:left="-13" w:leftChars="-4" w:right="105" w:firstLine="84" w:firstLineChars="35"/>
              <w:jc w:val="center"/>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35"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1</w:t>
            </w:r>
          </w:p>
        </w:tc>
        <w:tc>
          <w:tcPr>
            <w:tcW w:w="2897" w:type="dxa"/>
            <w:shd w:val="clear" w:color="auto" w:fill="auto"/>
            <w:noWrap/>
            <w:vAlign w:val="center"/>
          </w:tcPr>
          <w:p>
            <w:pPr>
              <w:pStyle w:val="102"/>
              <w:jc w:val="center"/>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Style w:val="113"/>
                <w:rFonts w:hint="eastAsia" w:ascii="宋体" w:hAnsi="宋体" w:eastAsia="宋体" w:cs="宋体"/>
                <w:color w:val="000000" w:themeColor="text1"/>
                <w:sz w:val="24"/>
                <w:szCs w:val="24"/>
                <w:highlight w:val="none"/>
                <w:lang w:val="en-US" w:eastAsia="zh-CN"/>
                <w14:textFill>
                  <w14:solidFill>
                    <w14:schemeClr w14:val="tx1"/>
                  </w14:solidFill>
                </w14:textFill>
              </w:rPr>
              <w:t>四川东辰捷兴物业服务有限公司</w:t>
            </w:r>
            <w:r>
              <w:rPr>
                <w:rStyle w:val="113"/>
                <w:rFonts w:hint="eastAsia" w:ascii="宋体" w:hAnsi="宋体" w:eastAsia="宋体" w:cs="宋体"/>
                <w:color w:val="000000" w:themeColor="text1"/>
                <w:sz w:val="24"/>
                <w:szCs w:val="24"/>
                <w:highlight w:val="none"/>
                <w14:textFill>
                  <w14:solidFill>
                    <w14:schemeClr w14:val="tx1"/>
                  </w14:solidFill>
                </w14:textFill>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000000" w:themeColor="text1"/>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000000" w:themeColor="text1"/>
                <w:kern w:val="2"/>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840" w:type="dxa"/>
            <w:noWrap/>
            <w:vAlign w:val="center"/>
          </w:tcPr>
          <w:p>
            <w:pPr>
              <w:pStyle w:val="102"/>
              <w:jc w:val="center"/>
              <w:rPr>
                <w:rFonts w:ascii="宋体" w:hAnsi="宋体" w:eastAsia="宋体" w:cs="宋体"/>
                <w:color w:val="000000" w:themeColor="text1"/>
                <w:sz w:val="24"/>
                <w:highlight w:val="none"/>
                <w14:textFill>
                  <w14:solidFill>
                    <w14:schemeClr w14:val="tx1"/>
                  </w14:solidFill>
                </w14:textFill>
              </w:rPr>
            </w:pPr>
          </w:p>
        </w:tc>
        <w:tc>
          <w:tcPr>
            <w:tcW w:w="1905" w:type="dxa"/>
            <w:noWrap/>
            <w:vAlign w:val="center"/>
          </w:tcPr>
          <w:p>
            <w:pPr>
              <w:widowControl/>
              <w:spacing w:line="360" w:lineRule="atLeast"/>
              <w:ind w:right="105" w:firstLine="470" w:firstLineChars="196"/>
              <w:jc w:val="center"/>
              <w:rPr>
                <w:rFonts w:hAnsi="宋体" w:eastAsia="宋体" w:cs="宋体"/>
                <w:color w:val="000000" w:themeColor="text1"/>
                <w:sz w:val="24"/>
                <w:highlight w:val="none"/>
                <w14:textFill>
                  <w14:solidFill>
                    <w14:schemeClr w14:val="tx1"/>
                  </w14:solidFill>
                </w14:textFill>
              </w:rPr>
            </w:pPr>
          </w:p>
        </w:tc>
        <w:tc>
          <w:tcPr>
            <w:tcW w:w="1595" w:type="dxa"/>
            <w:noWrap/>
          </w:tcPr>
          <w:p>
            <w:pPr>
              <w:widowControl/>
              <w:spacing w:line="360" w:lineRule="atLeast"/>
              <w:ind w:left="0" w:leftChars="0" w:right="105" w:firstLine="0" w:firstLineChars="0"/>
              <w:jc w:val="both"/>
              <w:rPr>
                <w:rFonts w:hint="default"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11人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2</w:t>
            </w:r>
          </w:p>
        </w:tc>
        <w:tc>
          <w:tcPr>
            <w:tcW w:w="2897" w:type="dxa"/>
            <w:shd w:val="clear" w:color="auto" w:fill="auto"/>
            <w:noWrap/>
            <w:vAlign w:val="center"/>
          </w:tcPr>
          <w:p>
            <w:pPr>
              <w:pStyle w:val="102"/>
              <w:jc w:val="center"/>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Style w:val="113"/>
                <w:rFonts w:hint="eastAsia" w:ascii="宋体" w:hAnsi="宋体" w:eastAsia="宋体" w:cs="宋体"/>
                <w:color w:val="000000" w:themeColor="text1"/>
                <w:sz w:val="24"/>
                <w:szCs w:val="24"/>
                <w:highlight w:val="none"/>
                <w:lang w:val="en-US" w:eastAsia="zh-CN"/>
                <w14:textFill>
                  <w14:solidFill>
                    <w14:schemeClr w14:val="tx1"/>
                  </w14:solidFill>
                </w14:textFill>
              </w:rPr>
              <w:t>四川东辰逸鑫物业服务有限公司</w:t>
            </w:r>
            <w:r>
              <w:rPr>
                <w:rStyle w:val="113"/>
                <w:rFonts w:hint="eastAsia" w:ascii="宋体" w:hAnsi="宋体" w:eastAsia="宋体" w:cs="宋体"/>
                <w:color w:val="000000" w:themeColor="text1"/>
                <w:sz w:val="24"/>
                <w:szCs w:val="24"/>
                <w:highlight w:val="none"/>
                <w14:textFill>
                  <w14:solidFill>
                    <w14:schemeClr w14:val="tx1"/>
                  </w14:solidFill>
                </w14:textFill>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000000" w:themeColor="text1"/>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000000" w:themeColor="text1"/>
                <w:kern w:val="2"/>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840" w:type="dxa"/>
            <w:noWrap/>
            <w:vAlign w:val="center"/>
          </w:tcPr>
          <w:p>
            <w:pPr>
              <w:pStyle w:val="102"/>
              <w:jc w:val="center"/>
              <w:rPr>
                <w:rFonts w:ascii="宋体" w:hAnsi="宋体" w:eastAsia="宋体" w:cs="宋体"/>
                <w:color w:val="000000" w:themeColor="text1"/>
                <w:sz w:val="24"/>
                <w:highlight w:val="none"/>
                <w14:textFill>
                  <w14:solidFill>
                    <w14:schemeClr w14:val="tx1"/>
                  </w14:solidFill>
                </w14:textFill>
              </w:rPr>
            </w:pPr>
          </w:p>
        </w:tc>
        <w:tc>
          <w:tcPr>
            <w:tcW w:w="1905" w:type="dxa"/>
            <w:noWrap/>
            <w:vAlign w:val="center"/>
          </w:tcPr>
          <w:p>
            <w:pPr>
              <w:widowControl/>
              <w:spacing w:line="360" w:lineRule="atLeast"/>
              <w:ind w:right="105" w:firstLine="470" w:firstLineChars="196"/>
              <w:jc w:val="center"/>
              <w:rPr>
                <w:rFonts w:hAnsi="宋体" w:eastAsia="宋体" w:cs="宋体"/>
                <w:color w:val="000000" w:themeColor="text1"/>
                <w:sz w:val="24"/>
                <w:highlight w:val="none"/>
                <w14:textFill>
                  <w14:solidFill>
                    <w14:schemeClr w14:val="tx1"/>
                  </w14:solidFill>
                </w14:textFill>
              </w:rPr>
            </w:pPr>
          </w:p>
        </w:tc>
        <w:tc>
          <w:tcPr>
            <w:tcW w:w="1595" w:type="dxa"/>
            <w:noWrap/>
          </w:tcPr>
          <w:p>
            <w:pPr>
              <w:widowControl/>
              <w:spacing w:line="360" w:lineRule="atLeast"/>
              <w:ind w:left="0" w:leftChars="0" w:right="105" w:firstLine="0" w:firstLineChars="0"/>
              <w:jc w:val="both"/>
              <w:rPr>
                <w:rFonts w:hint="default"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13人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67" w:type="dxa"/>
            <w:noWrap/>
            <w:vAlign w:val="center"/>
          </w:tcPr>
          <w:p>
            <w:pPr>
              <w:widowControl/>
              <w:spacing w:line="360" w:lineRule="atLeast"/>
              <w:ind w:right="105" w:firstLine="0" w:firstLineChars="0"/>
              <w:jc w:val="center"/>
              <w:rPr>
                <w:rFonts w:hint="eastAsia" w:hAnsi="宋体" w:eastAsia="宋体" w:cs="宋体"/>
                <w:color w:val="000000" w:themeColor="text1"/>
                <w:sz w:val="24"/>
                <w:highlight w:val="none"/>
                <w:lang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3</w:t>
            </w:r>
          </w:p>
        </w:tc>
        <w:tc>
          <w:tcPr>
            <w:tcW w:w="2897" w:type="dxa"/>
            <w:shd w:val="clear" w:color="auto" w:fill="auto"/>
            <w:noWrap/>
            <w:vAlign w:val="center"/>
          </w:tcPr>
          <w:p>
            <w:pPr>
              <w:pStyle w:val="102"/>
              <w:jc w:val="center"/>
              <w:rPr>
                <w:rFonts w:hint="eastAsia" w:ascii="宋体" w:hAnsi="宋体" w:eastAsia="宋体" w:cs="宋体"/>
                <w:color w:val="000000" w:themeColor="text1"/>
                <w:kern w:val="2"/>
                <w:sz w:val="24"/>
                <w:szCs w:val="24"/>
                <w:highlight w:val="none"/>
                <w:lang w:val="zh-CN" w:eastAsia="zh-CN" w:bidi="ar-SA"/>
                <w14:textFill>
                  <w14:solidFill>
                    <w14:schemeClr w14:val="tx1"/>
                  </w14:solidFill>
                </w14:textFill>
              </w:rPr>
            </w:pPr>
            <w:r>
              <w:rPr>
                <w:rStyle w:val="113"/>
                <w:rFonts w:hint="eastAsia" w:ascii="宋体" w:hAnsi="宋体" w:eastAsia="宋体" w:cs="宋体"/>
                <w:color w:val="000000" w:themeColor="text1"/>
                <w:sz w:val="24"/>
                <w:szCs w:val="24"/>
                <w:highlight w:val="none"/>
                <w:lang w:val="en-US" w:eastAsia="zh-CN"/>
                <w14:textFill>
                  <w14:solidFill>
                    <w14:schemeClr w14:val="tx1"/>
                  </w14:solidFill>
                </w14:textFill>
              </w:rPr>
              <w:t>四川东辰仙海物业服务有限公司</w:t>
            </w:r>
            <w:r>
              <w:rPr>
                <w:rStyle w:val="113"/>
                <w:rFonts w:hint="eastAsia" w:ascii="宋体" w:hAnsi="宋体" w:eastAsia="宋体" w:cs="宋体"/>
                <w:color w:val="000000" w:themeColor="text1"/>
                <w:sz w:val="24"/>
                <w:szCs w:val="24"/>
                <w:highlight w:val="none"/>
                <w14:textFill>
                  <w14:solidFill>
                    <w14:schemeClr w14:val="tx1"/>
                  </w14:solidFill>
                </w14:textFill>
              </w:rPr>
              <w:t>-保安服务</w:t>
            </w:r>
          </w:p>
        </w:tc>
        <w:tc>
          <w:tcPr>
            <w:tcW w:w="763" w:type="dxa"/>
            <w:shd w:val="clear" w:color="auto" w:fill="auto"/>
            <w:noWrap/>
            <w:vAlign w:val="center"/>
          </w:tcPr>
          <w:p>
            <w:pPr>
              <w:ind w:left="0" w:leftChars="0" w:right="105" w:rightChars="0" w:firstLine="0" w:firstLineChars="0"/>
              <w:jc w:val="center"/>
              <w:rPr>
                <w:rFonts w:hint="eastAsia" w:asciiTheme="minorEastAsia" w:hAnsiTheme="minorEastAsia" w:eastAsiaTheme="minorEastAsia" w:cstheme="minorEastAsia"/>
                <w:color w:val="000000" w:themeColor="text1"/>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2</w:t>
            </w:r>
          </w:p>
        </w:tc>
        <w:tc>
          <w:tcPr>
            <w:tcW w:w="729" w:type="dxa"/>
            <w:shd w:val="clear" w:color="auto" w:fill="auto"/>
            <w:noWrap/>
            <w:vAlign w:val="center"/>
          </w:tcPr>
          <w:p>
            <w:pPr>
              <w:pStyle w:val="102"/>
              <w:jc w:val="center"/>
              <w:rPr>
                <w:rFonts w:hint="eastAsia" w:asciiTheme="minorEastAsia" w:hAnsiTheme="minorEastAsia" w:eastAsiaTheme="minorEastAsia" w:cstheme="minorEastAsia"/>
                <w:color w:val="000000" w:themeColor="text1"/>
                <w:kern w:val="2"/>
                <w:sz w:val="24"/>
                <w:szCs w:val="24"/>
                <w:highlight w:val="none"/>
                <w:lang w:val="en-US" w:eastAsia="zh-CN" w:bidi="ar-SA"/>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14:textFill>
                  <w14:solidFill>
                    <w14:schemeClr w14:val="tx1"/>
                  </w14:solidFill>
                </w14:textFill>
              </w:rPr>
              <w:t>年</w:t>
            </w:r>
          </w:p>
        </w:tc>
        <w:tc>
          <w:tcPr>
            <w:tcW w:w="840" w:type="dxa"/>
            <w:noWrap/>
            <w:vAlign w:val="center"/>
          </w:tcPr>
          <w:p>
            <w:pPr>
              <w:pStyle w:val="102"/>
              <w:jc w:val="center"/>
              <w:rPr>
                <w:rFonts w:ascii="宋体" w:hAnsi="宋体" w:eastAsia="宋体" w:cs="宋体"/>
                <w:color w:val="000000" w:themeColor="text1"/>
                <w:sz w:val="24"/>
                <w:highlight w:val="none"/>
                <w14:textFill>
                  <w14:solidFill>
                    <w14:schemeClr w14:val="tx1"/>
                  </w14:solidFill>
                </w14:textFill>
              </w:rPr>
            </w:pPr>
          </w:p>
        </w:tc>
        <w:tc>
          <w:tcPr>
            <w:tcW w:w="1905" w:type="dxa"/>
            <w:noWrap/>
            <w:vAlign w:val="center"/>
          </w:tcPr>
          <w:p>
            <w:pPr>
              <w:widowControl/>
              <w:spacing w:line="360" w:lineRule="atLeast"/>
              <w:ind w:right="105" w:firstLine="470" w:firstLineChars="196"/>
              <w:jc w:val="center"/>
              <w:rPr>
                <w:rFonts w:hAnsi="宋体" w:eastAsia="宋体" w:cs="宋体"/>
                <w:color w:val="000000" w:themeColor="text1"/>
                <w:sz w:val="24"/>
                <w:highlight w:val="none"/>
                <w14:textFill>
                  <w14:solidFill>
                    <w14:schemeClr w14:val="tx1"/>
                  </w14:solidFill>
                </w14:textFill>
              </w:rPr>
            </w:pPr>
          </w:p>
        </w:tc>
        <w:tc>
          <w:tcPr>
            <w:tcW w:w="1595" w:type="dxa"/>
            <w:noWrap/>
          </w:tcPr>
          <w:p>
            <w:pPr>
              <w:widowControl/>
              <w:spacing w:line="360" w:lineRule="atLeast"/>
              <w:ind w:left="0" w:leftChars="0" w:right="105" w:firstLine="0" w:firstLineChars="0"/>
              <w:jc w:val="both"/>
              <w:rPr>
                <w:rFonts w:hint="default"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10人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6" w:hRule="atLeast"/>
          <w:jc w:val="center"/>
        </w:trPr>
        <w:tc>
          <w:tcPr>
            <w:tcW w:w="467" w:type="dxa"/>
            <w:noWrap/>
            <w:vAlign w:val="center"/>
          </w:tcPr>
          <w:p>
            <w:pPr>
              <w:widowControl/>
              <w:spacing w:line="360" w:lineRule="atLeast"/>
              <w:ind w:right="105" w:firstLine="0" w:firstLineChars="0"/>
              <w:jc w:val="center"/>
              <w:rPr>
                <w:rFonts w:hint="default"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4</w:t>
            </w:r>
          </w:p>
        </w:tc>
        <w:tc>
          <w:tcPr>
            <w:tcW w:w="2897" w:type="dxa"/>
            <w:shd w:val="clear" w:color="auto" w:fill="auto"/>
            <w:noWrap/>
            <w:vAlign w:val="center"/>
          </w:tcPr>
          <w:p>
            <w:pPr>
              <w:pStyle w:val="102"/>
              <w:jc w:val="center"/>
              <w:rPr>
                <w:rStyle w:val="113"/>
                <w:rFonts w:hint="default" w:ascii="宋体" w:hAnsi="宋体" w:eastAsia="宋体" w:cs="宋体"/>
                <w:color w:val="000000" w:themeColor="text1"/>
                <w:sz w:val="24"/>
                <w:szCs w:val="24"/>
                <w:highlight w:val="none"/>
                <w:lang w:val="en-US" w:eastAsia="zh-CN"/>
                <w14:textFill>
                  <w14:solidFill>
                    <w14:schemeClr w14:val="tx1"/>
                  </w14:solidFill>
                </w14:textFill>
              </w:rPr>
            </w:pPr>
            <w:r>
              <w:rPr>
                <w:rStyle w:val="113"/>
                <w:rFonts w:hint="eastAsia" w:ascii="宋体" w:hAnsi="宋体" w:eastAsia="宋体" w:cs="宋体"/>
                <w:color w:val="000000" w:themeColor="text1"/>
                <w:sz w:val="24"/>
                <w:szCs w:val="24"/>
                <w:highlight w:val="none"/>
                <w:lang w:val="en-US" w:eastAsia="zh-CN"/>
                <w14:textFill>
                  <w14:solidFill>
                    <w14:schemeClr w14:val="tx1"/>
                  </w14:solidFill>
                </w14:textFill>
              </w:rPr>
              <w:t>四川辰悦联家物业服务有限公司-保安服务</w:t>
            </w:r>
          </w:p>
        </w:tc>
        <w:tc>
          <w:tcPr>
            <w:tcW w:w="763" w:type="dxa"/>
            <w:shd w:val="clear" w:color="auto" w:fill="auto"/>
            <w:noWrap/>
            <w:vAlign w:val="center"/>
          </w:tcPr>
          <w:p>
            <w:pPr>
              <w:ind w:left="0" w:leftChars="0" w:right="105" w:rightChars="0" w:firstLine="0" w:firstLineChars="0"/>
              <w:jc w:val="cente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2</w:t>
            </w:r>
          </w:p>
        </w:tc>
        <w:tc>
          <w:tcPr>
            <w:tcW w:w="729" w:type="dxa"/>
            <w:shd w:val="clear" w:color="auto" w:fill="auto"/>
            <w:noWrap/>
            <w:vAlign w:val="center"/>
          </w:tcPr>
          <w:p>
            <w:pPr>
              <w:pStyle w:val="102"/>
              <w:jc w:val="cente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pPr>
            <w:r>
              <w:rPr>
                <w:rStyle w:val="113"/>
                <w:rFonts w:hint="eastAsia" w:asciiTheme="minorEastAsia" w:hAnsiTheme="minorEastAsia" w:eastAsiaTheme="minorEastAsia" w:cstheme="minorEastAsia"/>
                <w:color w:val="000000" w:themeColor="text1"/>
                <w:sz w:val="24"/>
                <w:szCs w:val="24"/>
                <w:highlight w:val="none"/>
                <w:lang w:val="en-US" w:eastAsia="zh-CN"/>
                <w14:textFill>
                  <w14:solidFill>
                    <w14:schemeClr w14:val="tx1"/>
                  </w14:solidFill>
                </w14:textFill>
              </w:rPr>
              <w:t>年</w:t>
            </w:r>
          </w:p>
        </w:tc>
        <w:tc>
          <w:tcPr>
            <w:tcW w:w="840" w:type="dxa"/>
            <w:noWrap/>
            <w:vAlign w:val="center"/>
          </w:tcPr>
          <w:p>
            <w:pPr>
              <w:pStyle w:val="102"/>
              <w:jc w:val="center"/>
              <w:rPr>
                <w:rFonts w:ascii="宋体" w:hAnsi="宋体" w:eastAsia="宋体" w:cs="宋体"/>
                <w:color w:val="000000" w:themeColor="text1"/>
                <w:sz w:val="24"/>
                <w:highlight w:val="none"/>
                <w14:textFill>
                  <w14:solidFill>
                    <w14:schemeClr w14:val="tx1"/>
                  </w14:solidFill>
                </w14:textFill>
              </w:rPr>
            </w:pPr>
          </w:p>
        </w:tc>
        <w:tc>
          <w:tcPr>
            <w:tcW w:w="1905" w:type="dxa"/>
            <w:noWrap/>
            <w:vAlign w:val="center"/>
          </w:tcPr>
          <w:p>
            <w:pPr>
              <w:widowControl/>
              <w:spacing w:line="360" w:lineRule="atLeast"/>
              <w:ind w:right="105" w:firstLine="470" w:firstLineChars="196"/>
              <w:jc w:val="center"/>
              <w:rPr>
                <w:rFonts w:hAnsi="宋体" w:eastAsia="宋体" w:cs="宋体"/>
                <w:color w:val="000000" w:themeColor="text1"/>
                <w:sz w:val="24"/>
                <w:highlight w:val="none"/>
                <w14:textFill>
                  <w14:solidFill>
                    <w14:schemeClr w14:val="tx1"/>
                  </w14:solidFill>
                </w14:textFill>
              </w:rPr>
            </w:pPr>
          </w:p>
        </w:tc>
        <w:tc>
          <w:tcPr>
            <w:tcW w:w="1595" w:type="dxa"/>
            <w:noWrap/>
          </w:tcPr>
          <w:p>
            <w:pPr>
              <w:widowControl/>
              <w:spacing w:line="360" w:lineRule="atLeast"/>
              <w:ind w:left="0" w:leftChars="0" w:right="105" w:firstLine="0" w:firstLineChars="0"/>
              <w:jc w:val="both"/>
              <w:rPr>
                <w:rFonts w:hint="default" w:hAnsi="宋体" w:eastAsia="宋体" w:cs="宋体"/>
                <w:color w:val="000000" w:themeColor="text1"/>
                <w:sz w:val="24"/>
                <w:highlight w:val="none"/>
                <w:lang w:val="en-US" w:eastAsia="zh-CN"/>
                <w14:textFill>
                  <w14:solidFill>
                    <w14:schemeClr w14:val="tx1"/>
                  </w14:solidFill>
                </w14:textFill>
              </w:rPr>
            </w:pPr>
            <w:r>
              <w:rPr>
                <w:rFonts w:hint="eastAsia" w:hAnsi="宋体" w:eastAsia="宋体" w:cs="宋体"/>
                <w:color w:val="000000" w:themeColor="text1"/>
                <w:sz w:val="24"/>
                <w:highlight w:val="none"/>
                <w:lang w:val="en-US" w:eastAsia="zh-CN"/>
                <w14:textFill>
                  <w14:solidFill>
                    <w14:schemeClr w14:val="tx1"/>
                  </w14:solidFill>
                </w14:textFill>
              </w:rPr>
              <w:t>9人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7" w:hRule="atLeast"/>
          <w:jc w:val="center"/>
        </w:trPr>
        <w:tc>
          <w:tcPr>
            <w:tcW w:w="9196" w:type="dxa"/>
            <w:gridSpan w:val="7"/>
            <w:tcBorders>
              <w:bottom w:val="single" w:color="auto" w:sz="4" w:space="0"/>
            </w:tcBorders>
            <w:noWrap/>
          </w:tcPr>
          <w:p>
            <w:pPr>
              <w:widowControl/>
              <w:spacing w:line="360" w:lineRule="atLeast"/>
              <w:ind w:right="105" w:firstLine="480"/>
              <w:rPr>
                <w:rFonts w:hAnsi="宋体" w:eastAsia="宋体" w:cs="宋体"/>
                <w:color w:val="000000" w:themeColor="text1"/>
                <w:sz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报价合计（万元）：             大写：</w:t>
            </w:r>
          </w:p>
        </w:tc>
      </w:tr>
    </w:tbl>
    <w:p>
      <w:pPr>
        <w:ind w:right="105" w:firstLine="280" w:firstLineChars="100"/>
        <w:rPr>
          <w:rFonts w:hAnsi="宋体" w:eastAsia="宋体" w:cs="宋体"/>
          <w:b/>
          <w:bCs/>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 xml:space="preserve"> 注：</w:t>
      </w:r>
      <w:r>
        <w:rPr>
          <w:rFonts w:hint="eastAsia" w:hAnsi="宋体" w:eastAsia="宋体" w:cs="宋体"/>
          <w:b/>
          <w:bCs/>
          <w:color w:val="000000" w:themeColor="text1"/>
          <w:sz w:val="28"/>
          <w:szCs w:val="28"/>
          <w:highlight w:val="none"/>
          <w14:textFill>
            <w14:solidFill>
              <w14:schemeClr w14:val="tx1"/>
            </w14:solidFill>
          </w14:textFill>
        </w:rPr>
        <w:t>本报价已包括人员的工资、五险一金、年度考核绩效、加班工资、福利、供应商的管理费用、利润等为完成本项目的一切费用。</w:t>
      </w:r>
    </w:p>
    <w:p>
      <w:pPr>
        <w:widowControl/>
        <w:ind w:right="105" w:firstLine="548" w:firstLineChars="196"/>
        <w:jc w:val="left"/>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投标人名称：（单位公章）</w:t>
      </w:r>
    </w:p>
    <w:p>
      <w:pPr>
        <w:widowControl/>
        <w:ind w:right="105" w:firstLine="548" w:firstLineChars="196"/>
        <w:jc w:val="left"/>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法定代表人或授权代表（签字或加盖个人名章）：</w:t>
      </w:r>
    </w:p>
    <w:p>
      <w:pPr>
        <w:widowControl/>
        <w:ind w:right="105" w:firstLine="548" w:firstLineChars="196"/>
        <w:jc w:val="left"/>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 xml:space="preserve">日 期： </w:t>
      </w:r>
    </w:p>
    <w:p>
      <w:pPr>
        <w:pStyle w:val="29"/>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ind w:right="105" w:firstLine="0" w:firstLineChars="0"/>
        <w:outlineLvl w:val="2"/>
        <w:rPr>
          <w:rFonts w:hint="eastAsia" w:hAnsi="宋体" w:eastAsia="宋体" w:cs="宋体"/>
          <w:bCs/>
          <w:color w:val="000000" w:themeColor="text1"/>
          <w:sz w:val="28"/>
          <w:szCs w:val="28"/>
          <w:highlight w:val="none"/>
          <w14:textFill>
            <w14:solidFill>
              <w14:schemeClr w14:val="tx1"/>
            </w14:solidFill>
          </w14:textFill>
        </w:rPr>
      </w:pPr>
    </w:p>
    <w:p>
      <w:pPr>
        <w:ind w:right="105" w:firstLine="0" w:firstLineChars="0"/>
        <w:outlineLvl w:val="2"/>
        <w:rPr>
          <w:rFonts w:hAnsi="宋体" w:eastAsia="宋体" w:cs="宋体"/>
          <w:b/>
          <w:color w:val="000000" w:themeColor="text1"/>
          <w:sz w:val="44"/>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附件3：</w:t>
      </w:r>
      <w:r>
        <w:rPr>
          <w:rFonts w:hint="eastAsia" w:hAnsi="宋体" w:eastAsia="宋体" w:cs="宋体"/>
          <w:color w:val="000000" w:themeColor="text1"/>
          <w:sz w:val="28"/>
          <w:highlight w:val="none"/>
          <w14:textFill>
            <w14:solidFill>
              <w14:schemeClr w14:val="tx1"/>
            </w14:solidFill>
          </w14:textFill>
        </w:rPr>
        <w:t xml:space="preserve"> 资信部分</w:t>
      </w:r>
      <w:r>
        <w:rPr>
          <w:rFonts w:hint="eastAsia" w:hAnsi="宋体" w:eastAsia="宋体" w:cs="宋体"/>
          <w:color w:val="000000" w:themeColor="text1"/>
          <w:sz w:val="28"/>
          <w:szCs w:val="28"/>
          <w:highlight w:val="none"/>
          <w14:textFill>
            <w14:solidFill>
              <w14:schemeClr w14:val="tx1"/>
            </w14:solidFill>
          </w14:textFill>
        </w:rPr>
        <w:t>投标文件封面</w:t>
      </w:r>
    </w:p>
    <w:p>
      <w:pPr>
        <w:pStyle w:val="7"/>
        <w:ind w:right="105"/>
        <w:rPr>
          <w:rFonts w:ascii="宋体"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b/>
          <w:bCs/>
          <w:color w:val="000000" w:themeColor="text1"/>
          <w:sz w:val="36"/>
          <w:szCs w:val="36"/>
          <w:highlight w:val="none"/>
          <w14:textFill>
            <w14:solidFill>
              <w14:schemeClr w14:val="tx1"/>
            </w14:solidFill>
          </w14:textFill>
        </w:rPr>
      </w:pPr>
      <w:r>
        <w:rPr>
          <w:rFonts w:hint="eastAsia" w:hAnsi="宋体" w:eastAsia="宋体" w:cs="宋体"/>
          <w:b/>
          <w:bCs/>
          <w:color w:val="000000" w:themeColor="text1"/>
          <w:sz w:val="36"/>
          <w:szCs w:val="36"/>
          <w:highlight w:val="none"/>
          <w:lang w:val="zh-TW" w:eastAsia="zh-TW"/>
          <w14:textFill>
            <w14:solidFill>
              <w14:schemeClr w14:val="tx1"/>
            </w14:solidFill>
          </w14:textFill>
        </w:rPr>
        <w:t>2025—2027年东辰集团</w:t>
      </w:r>
      <w:r>
        <w:rPr>
          <w:rFonts w:hint="eastAsia" w:hAnsi="宋体" w:eastAsia="宋体" w:cs="宋体"/>
          <w:b/>
          <w:bCs/>
          <w:color w:val="000000" w:themeColor="text1"/>
          <w:sz w:val="36"/>
          <w:szCs w:val="36"/>
          <w:highlight w:val="none"/>
          <w:lang w:val="en-US" w:eastAsia="zh-CN"/>
          <w14:textFill>
            <w14:solidFill>
              <w14:schemeClr w14:val="tx1"/>
            </w14:solidFill>
          </w14:textFill>
        </w:rPr>
        <w:t>住宅物业</w:t>
      </w:r>
      <w:r>
        <w:rPr>
          <w:rFonts w:hint="eastAsia" w:hAnsi="宋体" w:eastAsia="宋体" w:cs="宋体"/>
          <w:b/>
          <w:bCs/>
          <w:color w:val="000000" w:themeColor="text1"/>
          <w:sz w:val="36"/>
          <w:szCs w:val="36"/>
          <w:highlight w:val="none"/>
          <w:lang w:val="zh-TW" w:eastAsia="zh-TW"/>
          <w14:textFill>
            <w14:solidFill>
              <w14:schemeClr w14:val="tx1"/>
            </w14:solidFill>
          </w14:textFill>
        </w:rPr>
        <w:t>板块保安服务采购</w:t>
      </w: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tabs>
          <w:tab w:val="left" w:pos="1425"/>
        </w:tabs>
        <w:ind w:right="105" w:firstLine="0" w:firstLineChars="0"/>
        <w:jc w:val="center"/>
        <w:rPr>
          <w:rFonts w:hAnsi="宋体" w:eastAsia="宋体" w:cs="宋体"/>
          <w:b/>
          <w:color w:val="000000" w:themeColor="text1"/>
          <w:sz w:val="96"/>
          <w:szCs w:val="96"/>
          <w:highlight w:val="none"/>
          <w14:textFill>
            <w14:solidFill>
              <w14:schemeClr w14:val="tx1"/>
            </w14:solidFill>
          </w14:textFill>
        </w:rPr>
      </w:pPr>
      <w:r>
        <w:rPr>
          <w:rFonts w:hint="eastAsia" w:hAnsi="宋体" w:eastAsia="宋体" w:cs="宋体"/>
          <w:b/>
          <w:color w:val="000000" w:themeColor="text1"/>
          <w:sz w:val="96"/>
          <w:szCs w:val="96"/>
          <w:highlight w:val="none"/>
          <w14:textFill>
            <w14:solidFill>
              <w14:schemeClr w14:val="tx1"/>
            </w14:solidFill>
          </w14:textFill>
        </w:rPr>
        <w:t>投 标 文 件</w:t>
      </w:r>
    </w:p>
    <w:p>
      <w:pPr>
        <w:tabs>
          <w:tab w:val="left" w:pos="1425"/>
        </w:tabs>
        <w:ind w:right="105" w:firstLine="0" w:firstLineChars="0"/>
        <w:jc w:val="center"/>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 xml:space="preserve"> 资信部分（正本）</w:t>
      </w:r>
    </w:p>
    <w:p>
      <w:pPr>
        <w:tabs>
          <w:tab w:val="left" w:pos="1425"/>
        </w:tabs>
        <w:ind w:right="105" w:firstLine="560"/>
        <w:jc w:val="center"/>
        <w:rPr>
          <w:rFonts w:hAnsi="宋体" w:eastAsia="宋体" w:cs="宋体"/>
          <w:color w:val="000000" w:themeColor="text1"/>
          <w:sz w:val="28"/>
          <w:highlight w:val="none"/>
          <w14:textFill>
            <w14:solidFill>
              <w14:schemeClr w14:val="tx1"/>
            </w14:solidFill>
          </w14:textFill>
        </w:rPr>
      </w:pPr>
    </w:p>
    <w:p>
      <w:pPr>
        <w:tabs>
          <w:tab w:val="left" w:pos="1425"/>
        </w:tabs>
        <w:ind w:right="105" w:firstLine="560"/>
        <w:rPr>
          <w:rFonts w:hAnsi="宋体" w:eastAsia="宋体" w:cs="宋体"/>
          <w:color w:val="000000" w:themeColor="text1"/>
          <w:sz w:val="28"/>
          <w:highlight w:val="none"/>
          <w14:textFill>
            <w14:solidFill>
              <w14:schemeClr w14:val="tx1"/>
            </w14:solidFill>
          </w14:textFill>
        </w:rPr>
      </w:pPr>
    </w:p>
    <w:p>
      <w:pPr>
        <w:tabs>
          <w:tab w:val="left" w:pos="1425"/>
        </w:tabs>
        <w:ind w:right="105" w:firstLine="560"/>
        <w:rPr>
          <w:rFonts w:hAnsi="宋体" w:eastAsia="宋体" w:cs="宋体"/>
          <w:color w:val="000000" w:themeColor="text1"/>
          <w:sz w:val="28"/>
          <w:highlight w:val="none"/>
          <w14:textFill>
            <w14:solidFill>
              <w14:schemeClr w14:val="tx1"/>
            </w14:solidFill>
          </w14:textFill>
        </w:rPr>
      </w:pP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项目</w:t>
      </w:r>
      <w:r>
        <w:rPr>
          <w:rFonts w:hint="eastAsia" w:hAnsi="宋体" w:eastAsia="宋体" w:cs="宋体"/>
          <w:snapToGrid w:val="0"/>
          <w:color w:val="000000" w:themeColor="text1"/>
          <w:sz w:val="28"/>
          <w:szCs w:val="28"/>
          <w:highlight w:val="none"/>
          <w:u w:val="none"/>
          <w:lang w:val="en-US" w:eastAsia="zh-CN"/>
          <w14:textFill>
            <w14:solidFill>
              <w14:schemeClr w14:val="tx1"/>
            </w14:solidFill>
          </w14:textFill>
        </w:rPr>
        <w:t>名称</w:t>
      </w:r>
      <w:r>
        <w:rPr>
          <w:rFonts w:hint="eastAsia" w:hAnsi="宋体" w:eastAsia="宋体" w:cs="宋体"/>
          <w:color w:val="000000" w:themeColor="text1"/>
          <w:sz w:val="28"/>
          <w:highlight w:val="none"/>
          <w14:textFill>
            <w14:solidFill>
              <w14:schemeClr w14:val="tx1"/>
            </w14:solidFill>
          </w14:textFill>
        </w:rPr>
        <w:t>：</w:t>
      </w:r>
      <w:r>
        <w:rPr>
          <w:rFonts w:hint="eastAsia" w:hAnsi="宋体" w:eastAsia="宋体" w:cs="宋体"/>
          <w:color w:val="000000" w:themeColor="text1"/>
          <w:sz w:val="28"/>
          <w:szCs w:val="28"/>
          <w:highlight w:val="non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lang w:val="en-US" w:eastAsia="zh-CN"/>
          <w14:textFill>
            <w14:solidFill>
              <w14:schemeClr w14:val="tx1"/>
            </w14:solidFill>
          </w14:textFill>
        </w:rPr>
        <w:t>住宅物业</w:t>
      </w:r>
      <w:r>
        <w:rPr>
          <w:rFonts w:hint="eastAsia" w:hAnsi="宋体" w:eastAsia="宋体" w:cs="宋体"/>
          <w:color w:val="000000" w:themeColor="text1"/>
          <w:sz w:val="28"/>
          <w:szCs w:val="28"/>
          <w:highlight w:val="none"/>
          <w:lang w:val="zh-TW" w:eastAsia="zh-TW"/>
          <w14:textFill>
            <w14:solidFill>
              <w14:schemeClr w14:val="tx1"/>
            </w14:solidFill>
          </w14:textFill>
        </w:rPr>
        <w:t>板块保安服务采购</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投标文件内容：资信部分</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投标人（盖章）：</w:t>
      </w:r>
    </w:p>
    <w:p>
      <w:pPr>
        <w:tabs>
          <w:tab w:val="left" w:pos="1425"/>
        </w:tabs>
        <w:spacing w:line="480" w:lineRule="auto"/>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法定代表人或委托代理人（签字或盖章）</w:t>
      </w: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p>
      <w:pPr>
        <w:ind w:right="105" w:firstLine="0" w:firstLineChars="0"/>
        <w:outlineLvl w:val="2"/>
        <w:rPr>
          <w:rFonts w:hint="eastAsia" w:hAnsi="宋体" w:eastAsia="宋体" w:cs="宋体"/>
          <w:bCs/>
          <w:color w:val="000000" w:themeColor="text1"/>
          <w:sz w:val="28"/>
          <w:szCs w:val="28"/>
          <w:highlight w:val="none"/>
          <w14:textFill>
            <w14:solidFill>
              <w14:schemeClr w14:val="tx1"/>
            </w14:solidFill>
          </w14:textFill>
        </w:rPr>
      </w:pPr>
    </w:p>
    <w:p>
      <w:pPr>
        <w:ind w:right="105" w:firstLine="0" w:firstLineChars="0"/>
        <w:outlineLvl w:val="2"/>
        <w:rPr>
          <w:rFonts w:hAnsi="宋体" w:eastAsia="宋体" w:cs="宋体"/>
          <w:bCs/>
          <w:color w:val="000000" w:themeColor="text1"/>
          <w:sz w:val="28"/>
          <w:szCs w:val="28"/>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附件4：</w:t>
      </w:r>
    </w:p>
    <w:p>
      <w:pPr>
        <w:tabs>
          <w:tab w:val="left" w:pos="945"/>
        </w:tabs>
        <w:ind w:right="105" w:firstLine="643"/>
        <w:jc w:val="center"/>
        <w:rPr>
          <w:color w:val="000000" w:themeColor="text1"/>
          <w:highlight w:val="none"/>
          <w14:textFill>
            <w14:solidFill>
              <w14:schemeClr w14:val="tx1"/>
            </w14:solidFill>
          </w14:textFill>
        </w:rPr>
      </w:pPr>
      <w:r>
        <w:rPr>
          <w:rFonts w:hint="eastAsia" w:hAnsi="宋体" w:eastAsia="宋体" w:cs="宋体"/>
          <w:b/>
          <w:bCs/>
          <w:snapToGrid w:val="0"/>
          <w:color w:val="000000" w:themeColor="text1"/>
          <w:sz w:val="32"/>
          <w:szCs w:val="32"/>
          <w:highlight w:val="none"/>
          <w14:textFill>
            <w14:solidFill>
              <w14:schemeClr w14:val="tx1"/>
            </w14:solidFill>
          </w14:textFill>
        </w:rPr>
        <w:t>投标函</w:t>
      </w:r>
    </w:p>
    <w:p>
      <w:pPr>
        <w:spacing w:beforeLines="50" w:afterLines="50" w:line="440" w:lineRule="exact"/>
        <w:ind w:right="105" w:firstLine="0" w:firstLineChars="0"/>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lang w:val="en-US" w:eastAsia="zh-CN"/>
          <w14:textFill>
            <w14:solidFill>
              <w14:schemeClr w14:val="tx1"/>
            </w14:solidFill>
          </w14:textFill>
        </w:rPr>
        <w:t>四川东辰（集团）股份有限公司</w:t>
      </w:r>
      <w:r>
        <w:rPr>
          <w:rFonts w:hint="eastAsia" w:hAnsi="宋体" w:eastAsia="宋体" w:cs="宋体"/>
          <w:color w:val="000000" w:themeColor="text1"/>
          <w:sz w:val="28"/>
          <w:szCs w:val="28"/>
          <w:highlight w:val="none"/>
          <w14:textFill>
            <w14:solidFill>
              <w14:schemeClr w14:val="tx1"/>
            </w14:solidFill>
          </w14:textFill>
        </w:rPr>
        <w:t>：</w:t>
      </w:r>
    </w:p>
    <w:p>
      <w:pPr>
        <w:spacing w:beforeLines="50" w:afterLines="50" w:line="440" w:lineRule="exact"/>
        <w:ind w:right="105"/>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我方全面研究了</w:t>
      </w:r>
      <w:r>
        <w:rPr>
          <w:rFonts w:hint="eastAsia" w:hAnsi="宋体" w:eastAsia="宋体" w:cs="宋体"/>
          <w:color w:val="000000" w:themeColor="text1"/>
          <w:sz w:val="28"/>
          <w:szCs w:val="28"/>
          <w:highlight w:val="none"/>
          <w:u w:val="singl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u w:val="single"/>
          <w:lang w:val="en-US" w:eastAsia="zh-CN"/>
          <w14:textFill>
            <w14:solidFill>
              <w14:schemeClr w14:val="tx1"/>
            </w14:solidFill>
          </w14:textFill>
        </w:rPr>
        <w:t>住宅物业</w:t>
      </w:r>
      <w:r>
        <w:rPr>
          <w:rFonts w:hint="eastAsia" w:hAnsi="宋体" w:eastAsia="宋体" w:cs="宋体"/>
          <w:color w:val="000000" w:themeColor="text1"/>
          <w:sz w:val="28"/>
          <w:szCs w:val="28"/>
          <w:highlight w:val="none"/>
          <w:u w:val="single"/>
          <w:lang w:val="zh-TW" w:eastAsia="zh-TW"/>
          <w14:textFill>
            <w14:solidFill>
              <w14:schemeClr w14:val="tx1"/>
            </w14:solidFill>
          </w14:textFill>
        </w:rPr>
        <w:t>板块保安服务采购</w:t>
      </w:r>
      <w:r>
        <w:rPr>
          <w:rFonts w:hint="eastAsia" w:hAnsi="宋体" w:eastAsia="宋体" w:cs="宋体"/>
          <w:snapToGrid w:val="0"/>
          <w:color w:val="000000" w:themeColor="text1"/>
          <w:sz w:val="28"/>
          <w:szCs w:val="28"/>
          <w:highlight w:val="none"/>
          <w14:textFill>
            <w14:solidFill>
              <w14:schemeClr w14:val="tx1"/>
            </w14:solidFill>
          </w14:textFill>
        </w:rPr>
        <w:t>项目招标文件，决定参加贵单位组织的本项目投标活动。我方授权</w:t>
      </w:r>
      <w:r>
        <w:rPr>
          <w:rFonts w:hint="eastAsia" w:hAnsi="宋体" w:eastAsia="宋体" w:cs="宋体"/>
          <w:snapToGrid w:val="0"/>
          <w:color w:val="000000" w:themeColor="text1"/>
          <w:sz w:val="28"/>
          <w:szCs w:val="28"/>
          <w:highlight w:val="none"/>
          <w:u w:val="singl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（姓名、职务</w:t>
      </w:r>
      <w:r>
        <w:rPr>
          <w:rFonts w:hint="eastAsia" w:hAnsi="宋体" w:eastAsia="宋体" w:cs="宋体"/>
          <w:snapToGrid w:val="0"/>
          <w:color w:val="000000" w:themeColor="text1"/>
          <w:sz w:val="28"/>
          <w:szCs w:val="28"/>
          <w:highlight w:val="none"/>
          <w:lang w:eastAsia="zh-CN"/>
          <w14:textFill>
            <w14:solidFill>
              <w14:schemeClr w14:val="tx1"/>
            </w14:solidFill>
          </w14:textFill>
        </w:rPr>
        <w:t>）</w:t>
      </w:r>
      <w:r>
        <w:rPr>
          <w:rFonts w:hint="eastAsia" w:hAnsi="宋体" w:eastAsia="宋体" w:cs="宋体"/>
          <w:snapToGrid w:val="0"/>
          <w:color w:val="000000" w:themeColor="text1"/>
          <w:sz w:val="28"/>
          <w:szCs w:val="28"/>
          <w:highlight w:val="none"/>
          <w:u w:val="singl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代表我方（投标人名称）</w:t>
      </w:r>
      <w:r>
        <w:rPr>
          <w:rFonts w:hint="eastAsia" w:hAnsi="宋体" w:eastAsia="宋体" w:cs="宋体"/>
          <w:snapToGrid w:val="0"/>
          <w:color w:val="000000" w:themeColor="text1"/>
          <w:sz w:val="28"/>
          <w:szCs w:val="28"/>
          <w:highlight w:val="none"/>
          <w:u w:val="singl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u w:val="single"/>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全权处理本项目投标的有关事宜。</w:t>
      </w:r>
    </w:p>
    <w:p>
      <w:pPr>
        <w:spacing w:beforeLines="50" w:afterLines="50" w:line="440" w:lineRule="exact"/>
        <w:ind w:right="105" w:firstLine="280" w:firstLineChars="10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1、我方自愿按照招标文件规定的各项要求向招标人提供所需服务，项目包干总报价（含税）</w:t>
      </w:r>
      <w:r>
        <w:rPr>
          <w:rFonts w:hint="eastAsia" w:hAnsi="宋体" w:eastAsia="宋体" w:cs="宋体"/>
          <w:snapToGrid w:val="0"/>
          <w:color w:val="000000" w:themeColor="text1"/>
          <w:sz w:val="28"/>
          <w:szCs w:val="28"/>
          <w:highlight w:val="none"/>
          <w:u w:val="singl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为万元（大写）</w:t>
      </w:r>
      <w:r>
        <w:rPr>
          <w:rFonts w:hint="eastAsia" w:hAnsi="宋体" w:eastAsia="宋体" w:cs="宋体"/>
          <w:snapToGrid w:val="0"/>
          <w:color w:val="000000" w:themeColor="text1"/>
          <w:sz w:val="28"/>
          <w:szCs w:val="28"/>
          <w:highlight w:val="none"/>
          <w:u w:val="singl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w:t>
      </w:r>
    </w:p>
    <w:p>
      <w:pPr>
        <w:spacing w:beforeLines="50" w:afterLines="50" w:line="440" w:lineRule="exact"/>
        <w:ind w:right="105" w:firstLine="280" w:firstLineChars="10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2、一旦我方中标，我方将严格履行合同规定的责任和义务，保证按合同约定的时限完成项目。</w:t>
      </w:r>
    </w:p>
    <w:p>
      <w:pPr>
        <w:spacing w:beforeLines="50" w:afterLines="50" w:line="440" w:lineRule="exact"/>
        <w:ind w:right="105" w:firstLine="280" w:firstLineChars="10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3、我方为本项目提交投标文件正本 1份、副本3份、电子文档1份（U盘）。</w:t>
      </w:r>
    </w:p>
    <w:p>
      <w:pPr>
        <w:spacing w:beforeLines="50" w:afterLines="50" w:line="440" w:lineRule="exact"/>
        <w:ind w:right="105" w:firstLine="280" w:firstLineChars="10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4、我方同意本次招标的投标有效期为 30天。</w:t>
      </w:r>
    </w:p>
    <w:p>
      <w:pPr>
        <w:spacing w:line="240" w:lineRule="auto"/>
        <w:ind w:right="105" w:firstLine="280" w:firstLineChars="10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5、我方愿意提供贵公司可能另外要求的，与投标有关的文件资料，并保证我方已提供和将要提供的文件资料是真实、准确的。</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6、我方完全理解招标人不一定将合同授予最低报价的投标人的行为。投标人名称：（盖单位公章）</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 xml:space="preserve">通讯地址：     </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邮政编码：</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 xml:space="preserve">联系电话：     </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 xml:space="preserve">传真：    </w:t>
      </w:r>
    </w:p>
    <w:p>
      <w:pPr>
        <w:spacing w:line="240" w:lineRule="auto"/>
        <w:ind w:left="278" w:leftChars="82" w:right="105" w:firstLine="0" w:firstLineChars="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法定代表人或授权代表：（签字）</w:t>
      </w:r>
    </w:p>
    <w:p>
      <w:pPr>
        <w:spacing w:line="240" w:lineRule="auto"/>
        <w:ind w:left="278" w:leftChars="82" w:right="105" w:firstLine="0" w:firstLineChars="0"/>
        <w:rPr>
          <w:rFonts w:hint="eastAsia"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日 期：  年  月  日</w:t>
      </w:r>
    </w:p>
    <w:p>
      <w:pPr>
        <w:spacing w:line="240" w:lineRule="auto"/>
        <w:ind w:left="278" w:leftChars="82" w:right="105" w:firstLine="0" w:firstLineChars="0"/>
        <w:rPr>
          <w:rFonts w:hint="eastAsia" w:hAnsi="宋体" w:eastAsia="宋体" w:cs="宋体"/>
          <w:bCs/>
          <w:color w:val="000000" w:themeColor="text1"/>
          <w:sz w:val="28"/>
          <w:szCs w:val="28"/>
          <w:highlight w:val="none"/>
          <w14:textFill>
            <w14:solidFill>
              <w14:schemeClr w14:val="tx1"/>
            </w14:solidFill>
          </w14:textFill>
        </w:rPr>
      </w:pPr>
    </w:p>
    <w:p>
      <w:pPr>
        <w:spacing w:line="240" w:lineRule="auto"/>
        <w:ind w:left="278" w:leftChars="82" w:right="105" w:firstLine="0" w:firstLineChars="0"/>
        <w:rPr>
          <w:rFonts w:hAnsi="宋体" w:eastAsia="宋体" w:cs="宋体"/>
          <w:bCs/>
          <w:color w:val="000000" w:themeColor="text1"/>
          <w:sz w:val="28"/>
          <w:szCs w:val="28"/>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附件5：</w:t>
      </w:r>
    </w:p>
    <w:p>
      <w:pPr>
        <w:pStyle w:val="29"/>
        <w:spacing w:line="440" w:lineRule="exact"/>
        <w:ind w:right="105" w:firstLine="452"/>
        <w:jc w:val="center"/>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b/>
          <w:bCs/>
          <w:color w:val="000000" w:themeColor="text1"/>
          <w:spacing w:val="5"/>
          <w:sz w:val="44"/>
          <w:szCs w:val="44"/>
          <w:highlight w:val="none"/>
          <w14:textFill>
            <w14:solidFill>
              <w14:schemeClr w14:val="tx1"/>
            </w14:solidFill>
          </w14:textFill>
        </w:rPr>
        <w:t>投  标 人 声 明</w:t>
      </w:r>
    </w:p>
    <w:p>
      <w:pPr>
        <w:pStyle w:val="29"/>
        <w:spacing w:line="440" w:lineRule="exact"/>
        <w:ind w:right="105" w:firstLine="540" w:firstLineChars="20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本投标人就参加</w:t>
      </w:r>
      <w:r>
        <w:rPr>
          <w:rFonts w:hint="eastAsia" w:hAnsi="宋体" w:eastAsia="宋体" w:cs="宋体"/>
          <w:color w:val="000000" w:themeColor="text1"/>
          <w:sz w:val="28"/>
          <w:szCs w:val="28"/>
          <w:highlight w:val="none"/>
          <w:u w:val="singl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u w:val="single"/>
          <w:lang w:val="en-US" w:eastAsia="zh-CN"/>
          <w14:textFill>
            <w14:solidFill>
              <w14:schemeClr w14:val="tx1"/>
            </w14:solidFill>
          </w14:textFill>
        </w:rPr>
        <w:t>住宅物业</w:t>
      </w:r>
      <w:r>
        <w:rPr>
          <w:rFonts w:hint="eastAsia" w:hAnsi="宋体" w:eastAsia="宋体" w:cs="宋体"/>
          <w:color w:val="000000" w:themeColor="text1"/>
          <w:sz w:val="28"/>
          <w:szCs w:val="28"/>
          <w:highlight w:val="none"/>
          <w:u w:val="single"/>
          <w:lang w:val="zh-TW" w:eastAsia="zh-TW"/>
          <w14:textFill>
            <w14:solidFill>
              <w14:schemeClr w14:val="tx1"/>
            </w14:solidFill>
          </w14:textFill>
        </w:rPr>
        <w:t>板块保安服务采购</w:t>
      </w:r>
      <w:r>
        <w:rPr>
          <w:rFonts w:hint="eastAsia" w:ascii="宋体" w:hAnsi="宋体" w:eastAsia="宋体" w:cs="宋体"/>
          <w:color w:val="000000" w:themeColor="text1"/>
          <w:spacing w:val="5"/>
          <w:sz w:val="26"/>
          <w:szCs w:val="26"/>
          <w:highlight w:val="none"/>
          <w14:textFill>
            <w14:solidFill>
              <w14:schemeClr w14:val="tx1"/>
            </w14:solidFill>
          </w14:textFill>
        </w:rPr>
        <w:t>投标，作如下声明：</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一、对提供的资质等级副本、营业执照副本及授权委托书等投标文件的真实性负责；</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二、投标人具有承担招标人招标项目的供应能力，没有国家、地方或行业部门市场禁入的情况；</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三、投标人承诺报价不低于本企业成本价；</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四、在本项目投标过程中，投标人保证秉持独立、诚信、公正的原则，坚决杜绝串标、抬标等不良行为。</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五、投标人的负责人、员工或合伙人与本项目的设计、招标人不是合伙人；</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六、投标人未向招标人及其员工或第三人支付任何报酬或者其他以便促成投标人中标的任何情形发生；</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七、本次投标书的各项内容均属实，如有不实，愿承担相关法律责任，同时招标人可视情况终止投标人的投标资格，或取消中标。</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 xml:space="preserve">投标人名称：                        （盖章）      </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法定代表人或授权委托人：            （签字或盖章）</w:t>
      </w: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p>
    <w:p>
      <w:pPr>
        <w:pStyle w:val="29"/>
        <w:spacing w:line="440" w:lineRule="exact"/>
        <w:ind w:right="105" w:firstLine="270"/>
        <w:rPr>
          <w:rFonts w:ascii="宋体" w:hAnsi="宋体" w:eastAsia="宋体" w:cs="宋体"/>
          <w:color w:val="000000" w:themeColor="text1"/>
          <w:spacing w:val="5"/>
          <w:sz w:val="26"/>
          <w:szCs w:val="26"/>
          <w:highlight w:val="none"/>
          <w14:textFill>
            <w14:solidFill>
              <w14:schemeClr w14:val="tx1"/>
            </w14:solidFill>
          </w14:textFill>
        </w:rPr>
      </w:pPr>
      <w:r>
        <w:rPr>
          <w:rFonts w:hint="eastAsia" w:ascii="宋体" w:hAnsi="宋体" w:eastAsia="宋体" w:cs="宋体"/>
          <w:color w:val="000000" w:themeColor="text1"/>
          <w:spacing w:val="5"/>
          <w:sz w:val="26"/>
          <w:szCs w:val="26"/>
          <w:highlight w:val="none"/>
          <w14:textFill>
            <w14:solidFill>
              <w14:schemeClr w14:val="tx1"/>
            </w14:solidFill>
          </w14:textFill>
        </w:rPr>
        <w:t xml:space="preserve">   日期：     年    月    日</w:t>
      </w:r>
    </w:p>
    <w:p>
      <w:pPr>
        <w:ind w:left="0" w:leftChars="0" w:right="105" w:firstLine="0" w:firstLineChars="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附件6：</w:t>
      </w:r>
    </w:p>
    <w:p>
      <w:pPr>
        <w:ind w:right="105" w:firstLine="643"/>
        <w:jc w:val="center"/>
        <w:outlineLvl w:val="2"/>
        <w:rPr>
          <w:rFonts w:hAnsi="宋体" w:eastAsia="宋体" w:cs="宋体"/>
          <w:b/>
          <w:color w:val="000000" w:themeColor="text1"/>
          <w:sz w:val="32"/>
          <w:szCs w:val="32"/>
          <w:highlight w:val="none"/>
          <w14:textFill>
            <w14:solidFill>
              <w14:schemeClr w14:val="tx1"/>
            </w14:solidFill>
          </w14:textFill>
        </w:rPr>
      </w:pPr>
      <w:r>
        <w:rPr>
          <w:rFonts w:hint="eastAsia" w:hAnsi="宋体" w:eastAsia="宋体" w:cs="宋体"/>
          <w:b/>
          <w:color w:val="000000" w:themeColor="text1"/>
          <w:sz w:val="32"/>
          <w:szCs w:val="32"/>
          <w:highlight w:val="none"/>
          <w14:textFill>
            <w14:solidFill>
              <w14:schemeClr w14:val="tx1"/>
            </w14:solidFill>
          </w14:textFill>
        </w:rPr>
        <w:t>法定代表人授权委托书</w:t>
      </w:r>
    </w:p>
    <w:p>
      <w:pPr>
        <w:spacing w:before="60" w:after="60"/>
        <w:ind w:right="105" w:firstLine="0" w:firstLineChars="0"/>
        <w:jc w:val="left"/>
        <w:rPr>
          <w:rFonts w:hAnsi="宋体" w:eastAsia="宋体" w:cs="宋体"/>
          <w:b/>
          <w:bCs/>
          <w:snapToGrid w:val="0"/>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lang w:val="en-US" w:eastAsia="zh-CN"/>
          <w14:textFill>
            <w14:solidFill>
              <w14:schemeClr w14:val="tx1"/>
            </w14:solidFill>
          </w14:textFill>
        </w:rPr>
        <w:t>四川东辰（集团）股份有限公司</w:t>
      </w:r>
      <w:r>
        <w:rPr>
          <w:rFonts w:hint="eastAsia" w:hAnsi="宋体" w:eastAsia="宋体" w:cs="宋体"/>
          <w:b/>
          <w:bCs/>
          <w:snapToGrid w:val="0"/>
          <w:color w:val="000000" w:themeColor="text1"/>
          <w:sz w:val="28"/>
          <w:szCs w:val="28"/>
          <w:highlight w:val="none"/>
          <w14:textFill>
            <w14:solidFill>
              <w14:schemeClr w14:val="tx1"/>
            </w14:solidFill>
          </w14:textFill>
        </w:rPr>
        <w:t>：</w:t>
      </w:r>
    </w:p>
    <w:p>
      <w:pPr>
        <w:ind w:right="105" w:firstLine="560"/>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我方以公司或法定代表人身份授权为我司的全权代表，参加贵公司组织的</w:t>
      </w:r>
      <w:r>
        <w:rPr>
          <w:rFonts w:hint="eastAsia" w:hAnsi="宋体" w:eastAsia="宋体" w:cs="宋体"/>
          <w:color w:val="000000" w:themeColor="text1"/>
          <w:sz w:val="28"/>
          <w:szCs w:val="28"/>
          <w:highlight w:val="none"/>
          <w:u w:val="singl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u w:val="single"/>
          <w:lang w:val="en-US" w:eastAsia="zh-CN"/>
          <w14:textFill>
            <w14:solidFill>
              <w14:schemeClr w14:val="tx1"/>
            </w14:solidFill>
          </w14:textFill>
        </w:rPr>
        <w:t>住宅物业</w:t>
      </w:r>
      <w:r>
        <w:rPr>
          <w:rFonts w:hint="eastAsia" w:hAnsi="宋体" w:eastAsia="宋体" w:cs="宋体"/>
          <w:color w:val="000000" w:themeColor="text1"/>
          <w:sz w:val="28"/>
          <w:szCs w:val="28"/>
          <w:highlight w:val="none"/>
          <w:u w:val="single"/>
          <w:lang w:val="zh-TW" w:eastAsia="zh-TW"/>
          <w14:textFill>
            <w14:solidFill>
              <w14:schemeClr w14:val="tx1"/>
            </w14:solidFill>
          </w14:textFill>
        </w:rPr>
        <w:t>板块保安服务采购</w:t>
      </w:r>
      <w:r>
        <w:rPr>
          <w:rFonts w:hint="eastAsia" w:hAnsi="宋体" w:eastAsia="宋体" w:cs="宋体"/>
          <w:snapToGrid w:val="0"/>
          <w:color w:val="000000" w:themeColor="text1"/>
          <w:sz w:val="28"/>
          <w:szCs w:val="28"/>
          <w:highlight w:val="none"/>
          <w14:textFill>
            <w14:solidFill>
              <w14:schemeClr w14:val="tx1"/>
            </w14:solidFill>
          </w14:textFill>
        </w:rPr>
        <w:t>的投标，签署投标文件及其他书面文件，负责参加开标、询标、商务洽谈、签署合同及招标活动中的一切事宜。对被授权人的前述行为，我司均不可撤销地予以承认，并承担全部责任。</w:t>
      </w:r>
    </w:p>
    <w:p>
      <w:pPr>
        <w:spacing w:before="60" w:after="60"/>
        <w:ind w:right="105" w:firstLine="560"/>
        <w:jc w:val="left"/>
        <w:rPr>
          <w:rFonts w:hAnsi="宋体" w:eastAsia="宋体" w:cs="宋体"/>
          <w:snapToGrid w:val="0"/>
          <w:color w:val="000000" w:themeColor="text1"/>
          <w:sz w:val="28"/>
          <w:szCs w:val="28"/>
          <w:highlight w:val="none"/>
          <w:u w:val="singl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法定代表人签字：</w:t>
      </w:r>
    </w:p>
    <w:p>
      <w:pPr>
        <w:spacing w:before="60" w:after="60"/>
        <w:ind w:right="105" w:firstLine="560"/>
        <w:jc w:val="left"/>
        <w:rPr>
          <w:rFonts w:hAnsi="宋体" w:eastAsia="宋体" w:cs="宋体"/>
          <w:snapToGrid w:val="0"/>
          <w:color w:val="000000" w:themeColor="text1"/>
          <w:sz w:val="28"/>
          <w:szCs w:val="28"/>
          <w:highlight w:val="none"/>
          <w:u w:val="singl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投标单位全称（公章）：</w:t>
      </w:r>
    </w:p>
    <w:p>
      <w:pPr>
        <w:spacing w:before="60" w:after="60"/>
        <w:ind w:right="105" w:firstLine="560"/>
        <w:jc w:val="left"/>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日期：年月日</w:t>
      </w:r>
    </w:p>
    <w:p>
      <w:pPr>
        <w:spacing w:before="60" w:after="60"/>
        <w:ind w:right="105" w:firstLine="562"/>
        <w:jc w:val="left"/>
        <w:rPr>
          <w:rFonts w:hAnsi="宋体" w:eastAsia="宋体" w:cs="宋体"/>
          <w:b/>
          <w:bCs/>
          <w:snapToGrid w:val="0"/>
          <w:color w:val="000000" w:themeColor="text1"/>
          <w:sz w:val="28"/>
          <w:szCs w:val="28"/>
          <w:highlight w:val="none"/>
          <w14:textFill>
            <w14:solidFill>
              <w14:schemeClr w14:val="tx1"/>
            </w14:solidFill>
          </w14:textFill>
        </w:rPr>
      </w:pPr>
      <w:r>
        <w:rPr>
          <w:rFonts w:hint="eastAsia" w:hAnsi="宋体" w:eastAsia="宋体" w:cs="宋体"/>
          <w:b/>
          <w:bCs/>
          <w:snapToGrid w:val="0"/>
          <w:color w:val="000000" w:themeColor="text1"/>
          <w:sz w:val="28"/>
          <w:szCs w:val="28"/>
          <w:highlight w:val="none"/>
          <w14:textFill>
            <w14:solidFill>
              <w14:schemeClr w14:val="tx1"/>
            </w14:solidFill>
          </w14:textFill>
        </w:rPr>
        <w:t>附：授权代表信息</w:t>
      </w:r>
    </w:p>
    <w:p>
      <w:pPr>
        <w:spacing w:before="60" w:after="60"/>
        <w:ind w:right="105" w:firstLine="560"/>
        <w:jc w:val="left"/>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姓    名：</w:t>
      </w:r>
    </w:p>
    <w:p>
      <w:pPr>
        <w:adjustRightInd w:val="0"/>
        <w:snapToGrid w:val="0"/>
        <w:spacing w:before="100" w:beforeAutospacing="1" w:after="100" w:afterAutospacing="1"/>
        <w:ind w:right="105" w:firstLine="560"/>
        <w:jc w:val="left"/>
        <w:rPr>
          <w:rFonts w:hAnsi="宋体" w:eastAsia="宋体" w:cs="宋体"/>
          <w:snapToGrid w:val="0"/>
          <w:color w:val="000000" w:themeColor="text1"/>
          <w:sz w:val="28"/>
          <w:szCs w:val="28"/>
          <w:highlight w:val="none"/>
          <w:u w:val="singl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身份证号：</w:t>
      </w:r>
    </w:p>
    <w:p>
      <w:pPr>
        <w:adjustRightInd w:val="0"/>
        <w:snapToGrid w:val="0"/>
        <w:spacing w:before="100" w:beforeAutospacing="1" w:after="100" w:afterAutospacing="1"/>
        <w:ind w:right="105" w:firstLine="560"/>
        <w:jc w:val="left"/>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职    务：</w:t>
      </w:r>
    </w:p>
    <w:p>
      <w:pPr>
        <w:adjustRightInd w:val="0"/>
        <w:snapToGrid w:val="0"/>
        <w:spacing w:before="100" w:beforeAutospacing="1" w:after="100" w:afterAutospacing="1"/>
        <w:ind w:right="105" w:firstLine="560"/>
        <w:jc w:val="left"/>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详细通信地址：</w:t>
      </w:r>
    </w:p>
    <w:p>
      <w:pPr>
        <w:adjustRightInd w:val="0"/>
        <w:snapToGrid w:val="0"/>
        <w:spacing w:before="100" w:beforeAutospacing="1" w:after="100" w:afterAutospacing="1"/>
        <w:ind w:right="105" w:firstLine="560"/>
        <w:jc w:val="left"/>
        <w:rPr>
          <w:rFonts w:hAnsi="宋体" w:eastAsia="宋体" w:cs="宋体"/>
          <w:snapToGrid w:val="0"/>
          <w:color w:val="000000" w:themeColor="text1"/>
          <w:sz w:val="28"/>
          <w:szCs w:val="28"/>
          <w:highlight w:val="none"/>
          <w:u w:val="singl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邮    箱：</w:t>
      </w:r>
    </w:p>
    <w:p>
      <w:pPr>
        <w:adjustRightInd w:val="0"/>
        <w:snapToGrid w:val="0"/>
        <w:spacing w:before="100" w:beforeAutospacing="1" w:after="100" w:afterAutospacing="1"/>
        <w:ind w:right="105" w:firstLine="560"/>
        <w:jc w:val="left"/>
        <w:rPr>
          <w:rFonts w:hAnsi="宋体" w:eastAsia="宋体" w:cs="宋体"/>
          <w:snapToGrid w:val="0"/>
          <w:color w:val="000000" w:themeColor="text1"/>
          <w:sz w:val="28"/>
          <w:szCs w:val="28"/>
          <w:highlight w:val="none"/>
          <w:u w:val="singl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电    话：</w:t>
      </w:r>
    </w:p>
    <w:p>
      <w:pPr>
        <w:ind w:right="105" w:firstLine="560"/>
        <w:rPr>
          <w:rFonts w:hAnsi="宋体" w:eastAsia="宋体" w:cs="宋体"/>
          <w:color w:val="000000" w:themeColor="text1"/>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邮政编码：</w:t>
      </w:r>
    </w:p>
    <w:p>
      <w:pPr>
        <w:ind w:left="0" w:leftChars="0" w:right="105" w:firstLine="0" w:firstLineChars="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
          <w:color w:val="000000" w:themeColor="text1"/>
          <w:sz w:val="28"/>
          <w:szCs w:val="28"/>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附件7：</w:t>
      </w:r>
    </w:p>
    <w:p>
      <w:pPr>
        <w:ind w:right="105" w:firstLine="562"/>
        <w:jc w:val="center"/>
        <w:rPr>
          <w:rFonts w:hAnsi="宋体" w:eastAsia="宋体" w:cs="宋体"/>
          <w:b/>
          <w:color w:val="000000" w:themeColor="text1"/>
          <w:sz w:val="32"/>
          <w:szCs w:val="32"/>
          <w:highlight w:val="none"/>
          <w14:textFill>
            <w14:solidFill>
              <w14:schemeClr w14:val="tx1"/>
            </w14:solidFill>
          </w14:textFill>
        </w:rPr>
      </w:pPr>
      <w:r>
        <w:rPr>
          <w:rFonts w:hint="eastAsia" w:hAnsi="宋体" w:eastAsia="宋体" w:cs="宋体"/>
          <w:b/>
          <w:bCs/>
          <w:color w:val="000000" w:themeColor="text1"/>
          <w:sz w:val="28"/>
          <w:szCs w:val="28"/>
          <w:highlight w:val="none"/>
          <w14:textFill>
            <w14:solidFill>
              <w14:schemeClr w14:val="tx1"/>
            </w14:solidFill>
          </w14:textFill>
        </w:rPr>
        <w:t>四、</w:t>
      </w:r>
      <w:r>
        <w:rPr>
          <w:rFonts w:hint="eastAsia" w:hAnsi="宋体" w:eastAsia="宋体" w:cs="宋体"/>
          <w:b/>
          <w:color w:val="000000" w:themeColor="text1"/>
          <w:sz w:val="32"/>
          <w:szCs w:val="32"/>
          <w:highlight w:val="none"/>
          <w14:textFill>
            <w14:solidFill>
              <w14:schemeClr w14:val="tx1"/>
            </w14:solidFill>
          </w14:textFill>
        </w:rPr>
        <w:t>法定代表人身份证明书</w:t>
      </w: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姓名：性别：身份证号码：在我司任：职务，是我司的法定代表人。</w:t>
      </w: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特此证明！</w:t>
      </w:r>
    </w:p>
    <w:p>
      <w:pPr>
        <w:ind w:right="105" w:firstLine="4620" w:firstLineChars="165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4760" w:firstLineChars="1700"/>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color w:val="000000" w:themeColor="text1"/>
          <w:sz w:val="28"/>
          <w:szCs w:val="28"/>
          <w:highlight w:val="none"/>
          <w14:textFill>
            <w14:solidFill>
              <w14:schemeClr w14:val="tx1"/>
            </w14:solidFill>
          </w14:textFill>
        </w:rPr>
        <w:t xml:space="preserve">投标单位（盖章）：         </w:t>
      </w:r>
    </w:p>
    <w:p>
      <w:pPr>
        <w:spacing w:before="60" w:after="60"/>
        <w:ind w:right="105" w:firstLine="4760" w:firstLineChars="1700"/>
        <w:jc w:val="left"/>
        <w:rPr>
          <w:rFonts w:hAnsi="宋体" w:eastAsia="宋体" w:cs="宋体"/>
          <w:snapToGrid w:val="0"/>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8"/>
          <w:szCs w:val="28"/>
          <w:highlight w:val="none"/>
          <w14:textFill>
            <w14:solidFill>
              <w14:schemeClr w14:val="tx1"/>
            </w14:solidFill>
          </w14:textFill>
        </w:rPr>
        <w:t>日期：</w:t>
      </w:r>
      <w:r>
        <w:rPr>
          <w:rFonts w:hint="eastAsia" w:hAnsi="宋体" w:eastAsia="宋体" w:cs="宋体"/>
          <w:snapToGrid w:val="0"/>
          <w:color w:val="000000" w:themeColor="text1"/>
          <w:sz w:val="28"/>
          <w:szCs w:val="28"/>
          <w:highlight w:val="non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年</w:t>
      </w:r>
      <w:r>
        <w:rPr>
          <w:rFonts w:hint="eastAsia" w:hAnsi="宋体" w:eastAsia="宋体" w:cs="宋体"/>
          <w:snapToGrid w:val="0"/>
          <w:color w:val="000000" w:themeColor="text1"/>
          <w:sz w:val="28"/>
          <w:szCs w:val="28"/>
          <w:highlight w:val="non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月</w:t>
      </w:r>
      <w:r>
        <w:rPr>
          <w:rFonts w:hint="eastAsia" w:hAnsi="宋体" w:eastAsia="宋体" w:cs="宋体"/>
          <w:snapToGrid w:val="0"/>
          <w:color w:val="000000" w:themeColor="text1"/>
          <w:sz w:val="28"/>
          <w:szCs w:val="28"/>
          <w:highlight w:val="none"/>
          <w:lang w:val="en-US" w:eastAsia="zh-CN"/>
          <w14:textFill>
            <w14:solidFill>
              <w14:schemeClr w14:val="tx1"/>
            </w14:solidFill>
          </w14:textFill>
        </w:rPr>
        <w:t xml:space="preserve">  </w:t>
      </w:r>
      <w:r>
        <w:rPr>
          <w:rFonts w:hint="eastAsia" w:hAnsi="宋体" w:eastAsia="宋体" w:cs="宋体"/>
          <w:snapToGrid w:val="0"/>
          <w:color w:val="000000" w:themeColor="text1"/>
          <w:sz w:val="28"/>
          <w:szCs w:val="28"/>
          <w:highlight w:val="none"/>
          <w14:textFill>
            <w14:solidFill>
              <w14:schemeClr w14:val="tx1"/>
            </w14:solidFill>
          </w14:textFill>
        </w:rPr>
        <w:t>日</w:t>
      </w: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ind w:right="105" w:firstLine="560"/>
        <w:rPr>
          <w:rFonts w:hAnsi="宋体" w:eastAsia="宋体" w:cs="宋体"/>
          <w:bCs/>
          <w:color w:val="000000" w:themeColor="text1"/>
          <w:sz w:val="28"/>
          <w:szCs w:val="28"/>
          <w:highlight w:val="none"/>
          <w14:textFill>
            <w14:solidFill>
              <w14:schemeClr w14:val="tx1"/>
            </w14:solidFill>
          </w14:textFill>
        </w:rPr>
      </w:pPr>
    </w:p>
    <w:p>
      <w:pPr>
        <w:pStyle w:val="10"/>
        <w:ind w:right="105"/>
        <w:rPr>
          <w:rFonts w:ascii="宋体" w:hAnsi="宋体" w:eastAsia="宋体" w:cs="宋体"/>
          <w:bCs/>
          <w:color w:val="000000" w:themeColor="text1"/>
          <w:sz w:val="28"/>
          <w:szCs w:val="28"/>
          <w:highlight w:val="none"/>
          <w14:textFill>
            <w14:solidFill>
              <w14:schemeClr w14:val="tx1"/>
            </w14:solidFill>
          </w14:textFill>
        </w:rPr>
      </w:pPr>
    </w:p>
    <w:p>
      <w:pPr>
        <w:pStyle w:val="10"/>
        <w:ind w:right="105"/>
        <w:rPr>
          <w:rFonts w:ascii="宋体" w:hAnsi="宋体" w:eastAsia="宋体" w:cs="宋体"/>
          <w:bCs/>
          <w:color w:val="000000" w:themeColor="text1"/>
          <w:sz w:val="28"/>
          <w:szCs w:val="28"/>
          <w:highlight w:val="none"/>
          <w14:textFill>
            <w14:solidFill>
              <w14:schemeClr w14:val="tx1"/>
            </w14:solidFill>
          </w14:textFill>
        </w:rPr>
      </w:pPr>
    </w:p>
    <w:p>
      <w:pPr>
        <w:pStyle w:val="10"/>
        <w:ind w:right="105"/>
        <w:rPr>
          <w:rFonts w:ascii="宋体" w:hAnsi="宋体" w:eastAsia="宋体" w:cs="宋体"/>
          <w:color w:val="000000" w:themeColor="text1"/>
          <w:highlight w:val="none"/>
          <w14:textFill>
            <w14:solidFill>
              <w14:schemeClr w14:val="tx1"/>
            </w14:solidFill>
          </w14:textFill>
        </w:rPr>
      </w:pPr>
    </w:p>
    <w:p>
      <w:pPr>
        <w:tabs>
          <w:tab w:val="left" w:pos="945"/>
        </w:tabs>
        <w:ind w:right="105" w:firstLine="562"/>
        <w:rPr>
          <w:rFonts w:hAnsi="宋体" w:eastAsia="宋体" w:cs="宋体"/>
          <w:b/>
          <w:color w:val="000000" w:themeColor="text1"/>
          <w:sz w:val="28"/>
          <w:szCs w:val="28"/>
          <w:highlight w:val="none"/>
          <w14:textFill>
            <w14:solidFill>
              <w14:schemeClr w14:val="tx1"/>
            </w14:solidFill>
          </w14:textFill>
        </w:rPr>
      </w:pPr>
      <w:r>
        <w:rPr>
          <w:rFonts w:hint="eastAsia" w:hAnsi="宋体" w:eastAsia="宋体" w:cs="宋体"/>
          <w:b/>
          <w:color w:val="000000" w:themeColor="text1"/>
          <w:sz w:val="28"/>
          <w:szCs w:val="28"/>
          <w:highlight w:val="none"/>
          <w14:textFill>
            <w14:solidFill>
              <w14:schemeClr w14:val="tx1"/>
            </w14:solidFill>
          </w14:textFill>
        </w:rPr>
        <w:t>附件8</w:t>
      </w:r>
    </w:p>
    <w:p>
      <w:pPr>
        <w:tabs>
          <w:tab w:val="left" w:pos="945"/>
        </w:tabs>
        <w:ind w:right="105" w:firstLine="602"/>
        <w:jc w:val="center"/>
        <w:rPr>
          <w:rFonts w:hAnsi="宋体" w:eastAsia="宋体" w:cs="宋体"/>
          <w:b/>
          <w:color w:val="000000" w:themeColor="text1"/>
          <w:sz w:val="30"/>
          <w:highlight w:val="none"/>
          <w14:textFill>
            <w14:solidFill>
              <w14:schemeClr w14:val="tx1"/>
            </w14:solidFill>
          </w14:textFill>
        </w:rPr>
      </w:pPr>
      <w:r>
        <w:rPr>
          <w:rFonts w:hint="eastAsia" w:hAnsi="宋体" w:eastAsia="宋体" w:cs="宋体"/>
          <w:b/>
          <w:color w:val="000000" w:themeColor="text1"/>
          <w:sz w:val="30"/>
          <w:highlight w:val="none"/>
          <w14:textFill>
            <w14:solidFill>
              <w14:schemeClr w14:val="tx1"/>
            </w14:solidFill>
          </w14:textFill>
        </w:rPr>
        <w:t>拟派遣项目主管情况表</w:t>
      </w:r>
    </w:p>
    <w:p>
      <w:pPr>
        <w:tabs>
          <w:tab w:val="left" w:pos="945"/>
        </w:tabs>
        <w:ind w:right="105" w:firstLine="0" w:firstLineChars="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拟担任职务：</w:t>
      </w:r>
    </w:p>
    <w:tbl>
      <w:tblPr>
        <w:tblStyle w:val="31"/>
        <w:tblW w:w="9472" w:type="dxa"/>
        <w:tblInd w:w="-7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姓名：                 性别：       出生：   年    月     日</w:t>
            </w:r>
          </w:p>
          <w:p>
            <w:pPr>
              <w:tabs>
                <w:tab w:val="left" w:pos="945"/>
              </w:tabs>
              <w:ind w:right="105" w:firstLine="560"/>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学历：                 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472" w:type="dxa"/>
            <w:noWrap/>
          </w:tcPr>
          <w:p>
            <w:pPr>
              <w:tabs>
                <w:tab w:val="left" w:pos="945"/>
              </w:tabs>
              <w:ind w:right="105" w:firstLine="560"/>
              <w:jc w:val="left"/>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工作简历（业绩）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527" w:hRule="atLeast"/>
        </w:trPr>
        <w:tc>
          <w:tcPr>
            <w:tcW w:w="9472" w:type="dxa"/>
            <w:noWrap/>
          </w:tcPr>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480"/>
              <w:rPr>
                <w:rFonts w:hAnsi="宋体" w:eastAsia="宋体" w:cs="宋体"/>
                <w:color w:val="000000" w:themeColor="text1"/>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注：投标人须提供拟派往本项目的项目负责人的上岗证书、身份证复印件。</w:t>
            </w: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tabs>
                <w:tab w:val="left" w:pos="945"/>
              </w:tabs>
              <w:ind w:right="105" w:firstLine="680"/>
              <w:rPr>
                <w:rFonts w:hAnsi="宋体" w:eastAsia="宋体" w:cs="宋体"/>
                <w:color w:val="000000" w:themeColor="text1"/>
                <w:highlight w:val="none"/>
                <w14:textFill>
                  <w14:solidFill>
                    <w14:schemeClr w14:val="tx1"/>
                  </w14:solidFill>
                </w14:textFill>
              </w:rPr>
            </w:pPr>
          </w:p>
          <w:p>
            <w:pPr>
              <w:pStyle w:val="7"/>
              <w:ind w:right="105"/>
              <w:rPr>
                <w:rFonts w:ascii="宋体" w:hAnsi="宋体" w:eastAsia="宋体" w:cs="宋体"/>
                <w:color w:val="000000" w:themeColor="text1"/>
                <w:highlight w:val="none"/>
                <w14:textFill>
                  <w14:solidFill>
                    <w14:schemeClr w14:val="tx1"/>
                  </w14:solidFill>
                </w14:textFill>
              </w:rPr>
            </w:pPr>
          </w:p>
          <w:p>
            <w:pPr>
              <w:pStyle w:val="8"/>
              <w:ind w:right="105" w:firstLine="420"/>
              <w:rPr>
                <w:rFonts w:hAnsi="宋体" w:eastAsia="宋体" w:cs="宋体"/>
                <w:color w:val="000000" w:themeColor="text1"/>
                <w:highlight w:val="none"/>
                <w14:textFill>
                  <w14:solidFill>
                    <w14:schemeClr w14:val="tx1"/>
                  </w14:solidFill>
                </w14:textFill>
              </w:rPr>
            </w:pPr>
          </w:p>
        </w:tc>
      </w:tr>
    </w:tbl>
    <w:p>
      <w:pPr>
        <w:tabs>
          <w:tab w:val="left" w:pos="945"/>
        </w:tabs>
        <w:ind w:right="105" w:firstLine="560"/>
        <w:jc w:val="right"/>
        <w:rPr>
          <w:rFonts w:hAnsi="宋体" w:eastAsia="宋体" w:cs="宋体"/>
          <w:color w:val="000000" w:themeColor="text1"/>
          <w:sz w:val="28"/>
          <w:highlight w:val="none"/>
          <w14:textFill>
            <w14:solidFill>
              <w14:schemeClr w14:val="tx1"/>
            </w14:solidFill>
          </w14:textFill>
        </w:rPr>
      </w:pPr>
      <w:r>
        <w:rPr>
          <w:rFonts w:hint="eastAsia" w:hAnsi="宋体" w:eastAsia="宋体" w:cs="宋体"/>
          <w:color w:val="000000" w:themeColor="text1"/>
          <w:sz w:val="28"/>
          <w:highlight w:val="none"/>
          <w14:textFill>
            <w14:solidFill>
              <w14:schemeClr w14:val="tx1"/>
            </w14:solidFill>
          </w14:textFill>
        </w:rPr>
        <w:t>（此表可扩展）</w:t>
      </w:r>
    </w:p>
    <w:p>
      <w:pPr>
        <w:pStyle w:val="8"/>
        <w:ind w:right="105" w:firstLine="0" w:firstLineChars="0"/>
        <w:rPr>
          <w:rFonts w:hAnsi="宋体" w:eastAsia="宋体" w:cs="宋体"/>
          <w:color w:val="000000" w:themeColor="text1"/>
          <w:highlight w:val="none"/>
          <w14:textFill>
            <w14:solidFill>
              <w14:schemeClr w14:val="tx1"/>
            </w14:solidFill>
          </w14:textFill>
        </w:rPr>
      </w:pPr>
    </w:p>
    <w:p>
      <w:pPr>
        <w:pStyle w:val="8"/>
        <w:ind w:right="105" w:firstLine="0" w:firstLineChars="0"/>
        <w:rPr>
          <w:rFonts w:hAnsi="宋体" w:eastAsia="宋体" w:cs="宋体"/>
          <w:color w:val="000000" w:themeColor="text1"/>
          <w:highlight w:val="none"/>
          <w14:textFill>
            <w14:solidFill>
              <w14:schemeClr w14:val="tx1"/>
            </w14:solidFill>
          </w14:textFill>
        </w:rPr>
      </w:pPr>
    </w:p>
    <w:p>
      <w:pPr>
        <w:ind w:left="0" w:leftChars="0" w:right="105" w:firstLine="0" w:firstLineChars="0"/>
        <w:rPr>
          <w:rFonts w:hint="eastAsia" w:hAnsi="宋体" w:eastAsia="宋体" w:cs="宋体"/>
          <w:bCs/>
          <w:color w:val="000000" w:themeColor="text1"/>
          <w:sz w:val="24"/>
          <w:szCs w:val="24"/>
          <w:highlight w:val="none"/>
          <w14:textFill>
            <w14:solidFill>
              <w14:schemeClr w14:val="tx1"/>
            </w14:solidFill>
          </w14:textFill>
        </w:rPr>
      </w:pPr>
    </w:p>
    <w:p>
      <w:pPr>
        <w:ind w:left="0" w:leftChars="0" w:right="105" w:firstLine="0" w:firstLineChars="0"/>
        <w:rPr>
          <w:rFonts w:hAnsi="宋体" w:eastAsia="宋体" w:cs="宋体"/>
          <w:b/>
          <w:color w:val="000000" w:themeColor="text1"/>
          <w:sz w:val="24"/>
          <w:szCs w:val="24"/>
          <w:highlight w:val="none"/>
          <w14:textFill>
            <w14:solidFill>
              <w14:schemeClr w14:val="tx1"/>
            </w14:solidFill>
          </w14:textFill>
        </w:rPr>
      </w:pPr>
      <w:r>
        <w:rPr>
          <w:rFonts w:hint="eastAsia" w:hAnsi="宋体" w:eastAsia="宋体" w:cs="宋体"/>
          <w:bCs/>
          <w:color w:val="000000" w:themeColor="text1"/>
          <w:sz w:val="24"/>
          <w:szCs w:val="24"/>
          <w:highlight w:val="none"/>
          <w14:textFill>
            <w14:solidFill>
              <w14:schemeClr w14:val="tx1"/>
            </w14:solidFill>
          </w14:textFill>
        </w:rPr>
        <w:t>附件9：</w:t>
      </w:r>
    </w:p>
    <w:p>
      <w:pPr>
        <w:widowControl/>
        <w:spacing w:afterLines="50" w:line="440" w:lineRule="exact"/>
        <w:ind w:right="105" w:firstLine="0" w:firstLineChars="0"/>
        <w:jc w:val="center"/>
        <w:rPr>
          <w:rFonts w:hAnsi="宋体" w:eastAsia="宋体" w:cs="宋体"/>
          <w:snapToGrid w:val="0"/>
          <w:color w:val="000000" w:themeColor="text1"/>
          <w:sz w:val="32"/>
          <w:szCs w:val="32"/>
          <w:highlight w:val="none"/>
          <w:u w:val="single"/>
          <w14:textFill>
            <w14:solidFill>
              <w14:schemeClr w14:val="tx1"/>
            </w14:solidFill>
          </w14:textFill>
        </w:rPr>
      </w:pPr>
      <w:r>
        <w:rPr>
          <w:rFonts w:hint="eastAsia" w:hAnsi="宋体" w:eastAsia="宋体" w:cs="宋体"/>
          <w:b/>
          <w:snapToGrid w:val="0"/>
          <w:color w:val="000000" w:themeColor="text1"/>
          <w:sz w:val="32"/>
          <w:szCs w:val="32"/>
          <w:highlight w:val="none"/>
          <w14:textFill>
            <w14:solidFill>
              <w14:schemeClr w14:val="tx1"/>
            </w14:solidFill>
          </w14:textFill>
        </w:rPr>
        <w:t>承诺函</w:t>
      </w:r>
    </w:p>
    <w:p>
      <w:pPr>
        <w:spacing w:before="60" w:after="60"/>
        <w:ind w:right="105" w:firstLine="0" w:firstLineChars="0"/>
        <w:jc w:val="left"/>
        <w:rPr>
          <w:rFonts w:hAnsi="宋体" w:eastAsia="宋体" w:cs="宋体"/>
          <w:b/>
          <w:bCs/>
          <w:snapToGrid w:val="0"/>
          <w:color w:val="000000" w:themeColor="text1"/>
          <w:sz w:val="24"/>
          <w:szCs w:val="24"/>
          <w:highlight w:val="none"/>
          <w:u w:val="single"/>
          <w14:textFill>
            <w14:solidFill>
              <w14:schemeClr w14:val="tx1"/>
            </w14:solidFill>
          </w14:textFill>
        </w:rPr>
      </w:pPr>
      <w:r>
        <w:rPr>
          <w:rFonts w:hint="eastAsia" w:hAnsi="宋体" w:eastAsia="宋体" w:cs="宋体"/>
          <w:b/>
          <w:bCs/>
          <w:snapToGrid w:val="0"/>
          <w:color w:val="000000" w:themeColor="text1"/>
          <w:sz w:val="24"/>
          <w:szCs w:val="24"/>
          <w:highlight w:val="none"/>
          <w:u w:val="single"/>
          <w:lang w:val="en-US" w:eastAsia="zh-CN"/>
          <w14:textFill>
            <w14:solidFill>
              <w14:schemeClr w14:val="tx1"/>
            </w14:solidFill>
          </w14:textFill>
        </w:rPr>
        <w:t>四川东辰（集团）股份有限公司</w:t>
      </w:r>
      <w:r>
        <w:rPr>
          <w:rFonts w:hint="eastAsia" w:hAnsi="宋体" w:eastAsia="宋体" w:cs="宋体"/>
          <w:b/>
          <w:bCs/>
          <w:snapToGrid w:val="0"/>
          <w:color w:val="000000" w:themeColor="text1"/>
          <w:sz w:val="24"/>
          <w:szCs w:val="24"/>
          <w:highlight w:val="none"/>
          <w:u w:val="single"/>
          <w14:textFill>
            <w14:solidFill>
              <w14:schemeClr w14:val="tx1"/>
            </w14:solidFill>
          </w14:textFill>
        </w:rPr>
        <w:t>：</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我公司作为本次采购项目的投标人，根据招标文件要求，现郑重承诺如下：</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一、具备本项目规定资格的条件，不存在禁止投标的情形：</w:t>
      </w:r>
    </w:p>
    <w:p>
      <w:pPr>
        <w:widowControl/>
        <w:spacing w:line="288" w:lineRule="auto"/>
        <w:ind w:right="105" w:firstLine="480"/>
        <w:jc w:val="left"/>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（一）具有独立承担民事责任的能力； </w:t>
      </w:r>
    </w:p>
    <w:p>
      <w:pPr>
        <w:widowControl/>
        <w:spacing w:line="288" w:lineRule="auto"/>
        <w:ind w:right="105" w:firstLine="480"/>
        <w:jc w:val="left"/>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（二）具有良好的商业信誉和健全的财务会计制度； </w:t>
      </w:r>
    </w:p>
    <w:p>
      <w:pPr>
        <w:widowControl/>
        <w:spacing w:line="288" w:lineRule="auto"/>
        <w:ind w:right="105" w:firstLine="480"/>
        <w:jc w:val="left"/>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（三）具有履行合同所必需的设备和专业技术能力； </w:t>
      </w:r>
    </w:p>
    <w:p>
      <w:pPr>
        <w:widowControl/>
        <w:spacing w:line="288" w:lineRule="auto"/>
        <w:ind w:right="105" w:firstLine="480"/>
        <w:jc w:val="left"/>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（四）具有依法缴纳税收和社会保障资金的良好记录； </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（五）参加采购活动前三年内，在经营活动中没有重大违法记录；</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（六）符合法律、行政法规规定的其他条件；</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（七）截止到本项目投标截止日，未处于行业单位的投标限制期内；</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（八）不存在本项目招标文件规定的其他禁止投标的情形。</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二、完全接受和满足本项目招标文件中规定的实质性要求，如对招标文件有异议，已经在投标截止时间届满前依法进行维权救济，不存在对招标文件有异议的同时又参加投标以求侥幸中标或者为实现其他非法目的的行为。</w:t>
      </w:r>
    </w:p>
    <w:p>
      <w:pPr>
        <w:autoSpaceDE w:val="0"/>
        <w:autoSpaceDN w:val="0"/>
        <w:adjustRightInd w:val="0"/>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三、参加本次招标采购活动，不存在和其他投标人在同一合同项下的采购项目中，同时委托同一个自然人、同一家庭的人员、同一单位的人员作为授权代表或投标人的行为。 </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四、投标文件中提供的任何材料资料和商务、技术、服务等响应承诺情况都是真实的、有效的、合法的。</w:t>
      </w:r>
    </w:p>
    <w:p>
      <w:pPr>
        <w:widowControl/>
        <w:spacing w:line="288" w:lineRule="auto"/>
        <w:ind w:right="105" w:firstLine="480"/>
        <w:jc w:val="lef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五、在投标以及合同履行过程中使用的任何产品和服务（包括部分使用），不会产生因第三方提出侵犯其专利权、商标权或其他知识产权而引起的法律和经济纠纷，如因专利权、商标权或其他知识产权而引起法律和经济纠纷，由我公司单方面承担所有相关责任。</w:t>
      </w:r>
    </w:p>
    <w:p>
      <w:pPr>
        <w:pStyle w:val="29"/>
        <w:spacing w:line="288" w:lineRule="auto"/>
        <w:ind w:right="105" w:firstLine="480" w:firstLineChars="200"/>
        <w:rPr>
          <w:rFonts w:ascii="宋体" w:hAnsi="宋体" w:eastAsia="宋体" w:cs="宋体"/>
          <w:color w:val="000000" w:themeColor="text1"/>
          <w:sz w:val="24"/>
          <w:highlight w:val="none"/>
          <w14:textFill>
            <w14:solidFill>
              <w14:schemeClr w14:val="tx1"/>
            </w14:solidFill>
          </w14:textFill>
        </w:rPr>
      </w:pPr>
      <w:r>
        <w:rPr>
          <w:rFonts w:hint="eastAsia" w:ascii="宋体" w:hAnsi="宋体" w:eastAsia="宋体" w:cs="宋体"/>
          <w:snapToGrid w:val="0"/>
          <w:color w:val="000000" w:themeColor="text1"/>
          <w:sz w:val="24"/>
          <w:highlight w:val="none"/>
          <w14:textFill>
            <w14:solidFill>
              <w14:schemeClr w14:val="tx1"/>
            </w14:solidFill>
          </w14:textFill>
        </w:rPr>
        <w:t>六、</w:t>
      </w:r>
      <w:r>
        <w:rPr>
          <w:rFonts w:ascii="宋体" w:hAnsi="宋体" w:eastAsia="宋体" w:cs="宋体"/>
          <w:color w:val="000000" w:themeColor="text1"/>
          <w:sz w:val="24"/>
          <w:highlight w:val="none"/>
          <w14:textFill>
            <w14:solidFill>
              <w14:schemeClr w14:val="tx1"/>
            </w14:solidFill>
          </w14:textFill>
        </w:rPr>
        <w:t>若被选定为中标方，无法按照报价承诺的服务和价格执行，或未在规定时间内签署正式合同，或坚持提出额外条件，招标</w:t>
      </w:r>
      <w:r>
        <w:rPr>
          <w:rFonts w:hint="eastAsia" w:ascii="宋体" w:hAnsi="宋体" w:eastAsia="宋体" w:cs="宋体"/>
          <w:color w:val="000000" w:themeColor="text1"/>
          <w:sz w:val="24"/>
          <w:highlight w:val="none"/>
          <w14:textFill>
            <w14:solidFill>
              <w14:schemeClr w14:val="tx1"/>
            </w14:solidFill>
          </w14:textFill>
        </w:rPr>
        <w:t>人</w:t>
      </w:r>
      <w:r>
        <w:rPr>
          <w:rFonts w:ascii="宋体" w:hAnsi="宋体" w:eastAsia="宋体" w:cs="宋体"/>
          <w:color w:val="000000" w:themeColor="text1"/>
          <w:sz w:val="24"/>
          <w:highlight w:val="none"/>
          <w14:textFill>
            <w14:solidFill>
              <w14:schemeClr w14:val="tx1"/>
            </w14:solidFill>
          </w14:textFill>
        </w:rPr>
        <w:t>有权选择其他中标单位，并追究责任。同时，赔偿因此给招标方造成的经济损失，赔偿金额为招标</w:t>
      </w:r>
      <w:r>
        <w:rPr>
          <w:rFonts w:hint="eastAsia" w:ascii="宋体" w:hAnsi="宋体" w:eastAsia="宋体" w:cs="宋体"/>
          <w:color w:val="000000" w:themeColor="text1"/>
          <w:sz w:val="24"/>
          <w:highlight w:val="none"/>
          <w14:textFill>
            <w14:solidFill>
              <w14:schemeClr w14:val="tx1"/>
            </w14:solidFill>
          </w14:textFill>
        </w:rPr>
        <w:t>人</w:t>
      </w:r>
      <w:r>
        <w:rPr>
          <w:rFonts w:ascii="宋体" w:hAnsi="宋体" w:eastAsia="宋体" w:cs="宋体"/>
          <w:color w:val="000000" w:themeColor="text1"/>
          <w:sz w:val="24"/>
          <w:highlight w:val="none"/>
          <w14:textFill>
            <w14:solidFill>
              <w14:schemeClr w14:val="tx1"/>
            </w14:solidFill>
          </w14:textFill>
        </w:rPr>
        <w:t>项目品名限价的5%。</w:t>
      </w:r>
    </w:p>
    <w:p>
      <w:pPr>
        <w:pStyle w:val="29"/>
        <w:spacing w:line="288" w:lineRule="auto"/>
        <w:ind w:right="105" w:firstLine="480" w:firstLineChars="200"/>
        <w:rPr>
          <w:rFonts w:ascii="宋体" w:hAnsi="宋体" w:eastAsia="宋体" w:cs="宋体"/>
          <w:color w:val="000000" w:themeColor="text1"/>
          <w:sz w:val="24"/>
          <w:highlight w:val="none"/>
          <w14:textFill>
            <w14:solidFill>
              <w14:schemeClr w14:val="tx1"/>
            </w14:solidFill>
          </w14:textFill>
        </w:rPr>
      </w:pPr>
      <w:r>
        <w:rPr>
          <w:rFonts w:ascii="宋体" w:hAnsi="宋体" w:eastAsia="宋体" w:cs="宋体"/>
          <w:color w:val="000000" w:themeColor="text1"/>
          <w:sz w:val="24"/>
          <w:highlight w:val="none"/>
          <w14:textFill>
            <w14:solidFill>
              <w14:schemeClr w14:val="tx1"/>
            </w14:solidFill>
          </w14:textFill>
        </w:rPr>
        <w:t>七、</w:t>
      </w:r>
      <w:r>
        <w:rPr>
          <w:rFonts w:hint="eastAsia" w:ascii="宋体" w:hAnsi="宋体" w:eastAsia="宋体" w:cs="宋体"/>
          <w:color w:val="000000" w:themeColor="text1"/>
          <w:sz w:val="24"/>
          <w:highlight w:val="none"/>
          <w14:textFill>
            <w14:solidFill>
              <w14:schemeClr w14:val="tx1"/>
            </w14:solidFill>
          </w14:textFill>
        </w:rPr>
        <w:t>每月保安</w:t>
      </w:r>
      <w:r>
        <w:rPr>
          <w:rFonts w:ascii="宋体" w:hAnsi="宋体" w:eastAsia="宋体" w:cs="宋体"/>
          <w:color w:val="000000" w:themeColor="text1"/>
          <w:sz w:val="24"/>
          <w:highlight w:val="none"/>
          <w14:textFill>
            <w14:solidFill>
              <w14:schemeClr w14:val="tx1"/>
            </w14:solidFill>
          </w14:textFill>
        </w:rPr>
        <w:t>服务完成后，我方接受</w:t>
      </w:r>
      <w:r>
        <w:rPr>
          <w:rFonts w:hint="eastAsia" w:ascii="宋体" w:hAnsi="宋体" w:eastAsia="宋体" w:cs="宋体"/>
          <w:color w:val="000000" w:themeColor="text1"/>
          <w:sz w:val="24"/>
          <w:highlight w:val="none"/>
          <w14:textFill>
            <w14:solidFill>
              <w14:schemeClr w14:val="tx1"/>
            </w14:solidFill>
          </w14:textFill>
        </w:rPr>
        <w:t>招标</w:t>
      </w:r>
      <w:r>
        <w:rPr>
          <w:rFonts w:ascii="宋体" w:hAnsi="宋体" w:eastAsia="宋体" w:cs="宋体"/>
          <w:color w:val="000000" w:themeColor="text1"/>
          <w:sz w:val="24"/>
          <w:highlight w:val="none"/>
          <w14:textFill>
            <w14:solidFill>
              <w14:schemeClr w14:val="tx1"/>
            </w14:solidFill>
          </w14:textFill>
        </w:rPr>
        <w:t>方在</w:t>
      </w:r>
      <w:r>
        <w:rPr>
          <w:rFonts w:hint="eastAsia" w:ascii="宋体" w:hAnsi="宋体" w:eastAsia="宋体" w:cs="宋体"/>
          <w:color w:val="000000" w:themeColor="text1"/>
          <w:sz w:val="24"/>
          <w:highlight w:val="none"/>
          <w:u w:val="single"/>
          <w:lang w:val="en-US" w:eastAsia="zh-CN"/>
          <w14:textFill>
            <w14:solidFill>
              <w14:schemeClr w14:val="tx1"/>
            </w14:solidFill>
          </w14:textFill>
        </w:rPr>
        <w:t xml:space="preserve">    </w:t>
      </w:r>
      <w:r>
        <w:rPr>
          <w:rFonts w:ascii="宋体" w:hAnsi="宋体" w:eastAsia="宋体" w:cs="宋体"/>
          <w:color w:val="000000" w:themeColor="text1"/>
          <w:sz w:val="24"/>
          <w:highlight w:val="none"/>
          <w14:textFill>
            <w14:solidFill>
              <w14:schemeClr w14:val="tx1"/>
            </w14:solidFill>
          </w14:textFill>
        </w:rPr>
        <w:t>期限内支付相应费用</w:t>
      </w:r>
      <w:r>
        <w:rPr>
          <w:rFonts w:hint="eastAsia" w:ascii="宋体" w:hAnsi="宋体" w:eastAsia="宋体" w:cs="宋体"/>
          <w:color w:val="000000" w:themeColor="text1"/>
          <w:sz w:val="24"/>
          <w:highlight w:val="none"/>
          <w14:textFill>
            <w14:solidFill>
              <w14:schemeClr w14:val="tx1"/>
            </w14:solidFill>
          </w14:textFill>
        </w:rPr>
        <w:t>的约定</w:t>
      </w:r>
      <w:r>
        <w:rPr>
          <w:rFonts w:ascii="宋体" w:hAnsi="宋体" w:eastAsia="宋体" w:cs="宋体"/>
          <w:color w:val="000000" w:themeColor="text1"/>
          <w:sz w:val="24"/>
          <w:highlight w:val="none"/>
          <w14:textFill>
            <w14:solidFill>
              <w14:schemeClr w14:val="tx1"/>
            </w14:solidFill>
          </w14:textFill>
        </w:rPr>
        <w:t>。</w:t>
      </w:r>
    </w:p>
    <w:p>
      <w:pPr>
        <w:pStyle w:val="44"/>
        <w:spacing w:line="288" w:lineRule="auto"/>
        <w:ind w:firstLine="480" w:firstLineChars="200"/>
        <w:rPr>
          <w:rFonts w:ascii="宋体" w:hAnsi="宋体" w:eastAsia="宋体" w:cs="宋体"/>
          <w:color w:val="000000" w:themeColor="text1"/>
          <w:szCs w:val="24"/>
          <w:highlight w:val="none"/>
          <w14:textFill>
            <w14:solidFill>
              <w14:schemeClr w14:val="tx1"/>
            </w14:solidFill>
          </w14:textFill>
        </w:rPr>
      </w:pPr>
      <w:r>
        <w:rPr>
          <w:rFonts w:hint="eastAsia" w:ascii="宋体" w:hAnsi="宋体" w:eastAsia="宋体" w:cs="宋体"/>
          <w:snapToGrid w:val="0"/>
          <w:color w:val="000000" w:themeColor="text1"/>
          <w:szCs w:val="24"/>
          <w:highlight w:val="none"/>
          <w14:textFill>
            <w14:solidFill>
              <w14:schemeClr w14:val="tx1"/>
            </w14:solidFill>
          </w14:textFill>
        </w:rPr>
        <w:t>本公司对上述承诺的内容和事项真实性负责。如经查实上述承诺的内容和事项存在虚假，我公司愿意接受以提供虚假材料谋取中标追究法律责任。</w:t>
      </w:r>
    </w:p>
    <w:p>
      <w:pPr>
        <w:spacing w:beforeLines="50" w:line="288" w:lineRule="auto"/>
        <w:ind w:right="105" w:firstLine="480"/>
        <w:jc w:val="right"/>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投标人名称：       （盖单位公章）</w:t>
      </w:r>
    </w:p>
    <w:p>
      <w:pPr>
        <w:spacing w:line="288" w:lineRule="auto"/>
        <w:ind w:right="105" w:firstLine="4800" w:firstLineChars="2000"/>
        <w:rPr>
          <w:rFonts w:hAnsi="宋体" w:eastAsia="宋体" w:cs="宋体"/>
          <w:snapToGrid w:val="0"/>
          <w:color w:val="000000" w:themeColor="text1"/>
          <w:sz w:val="24"/>
          <w:szCs w:val="24"/>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 xml:space="preserve">法定代表人或授权代表（签字）：           </w:t>
      </w:r>
    </w:p>
    <w:p>
      <w:pPr>
        <w:spacing w:line="288" w:lineRule="auto"/>
        <w:ind w:left="170" w:leftChars="50" w:right="105" w:firstLine="360" w:firstLineChars="150"/>
        <w:jc w:val="right"/>
        <w:rPr>
          <w:rFonts w:hAnsi="宋体" w:eastAsia="宋体" w:cs="宋体"/>
          <w:bCs/>
          <w:color w:val="000000" w:themeColor="text1"/>
          <w:sz w:val="28"/>
          <w:szCs w:val="28"/>
          <w:highlight w:val="none"/>
          <w14:textFill>
            <w14:solidFill>
              <w14:schemeClr w14:val="tx1"/>
            </w14:solidFill>
          </w14:textFill>
        </w:rPr>
      </w:pPr>
      <w:r>
        <w:rPr>
          <w:rFonts w:hint="eastAsia" w:hAnsi="宋体" w:eastAsia="宋体" w:cs="宋体"/>
          <w:snapToGrid w:val="0"/>
          <w:color w:val="000000" w:themeColor="text1"/>
          <w:sz w:val="24"/>
          <w:szCs w:val="24"/>
          <w:highlight w:val="none"/>
          <w14:textFill>
            <w14:solidFill>
              <w14:schemeClr w14:val="tx1"/>
            </w14:solidFill>
          </w14:textFill>
        </w:rPr>
        <w:t>日期：   年   月   日</w:t>
      </w:r>
    </w:p>
    <w:p>
      <w:pPr>
        <w:ind w:right="105"/>
        <w:rPr>
          <w:rFonts w:hint="eastAsia" w:hAnsi="宋体" w:eastAsia="宋体" w:cs="宋体"/>
          <w:bCs/>
          <w:color w:val="000000" w:themeColor="text1"/>
          <w:sz w:val="28"/>
          <w:szCs w:val="28"/>
          <w:highlight w:val="none"/>
          <w14:textFill>
            <w14:solidFill>
              <w14:schemeClr w14:val="tx1"/>
            </w14:solidFill>
          </w14:textFill>
        </w:rPr>
      </w:pPr>
    </w:p>
    <w:p>
      <w:pPr>
        <w:ind w:right="105"/>
        <w:rPr>
          <w:rFonts w:hAnsi="宋体" w:eastAsia="宋体" w:cs="宋体"/>
          <w:color w:val="000000" w:themeColor="text1"/>
          <w:sz w:val="28"/>
          <w:szCs w:val="28"/>
          <w:highlight w:val="none"/>
          <w14:textFill>
            <w14:solidFill>
              <w14:schemeClr w14:val="tx1"/>
            </w14:solidFill>
          </w14:textFill>
        </w:rPr>
      </w:pPr>
      <w:r>
        <w:rPr>
          <w:rFonts w:hint="eastAsia" w:hAnsi="宋体" w:eastAsia="宋体" w:cs="宋体"/>
          <w:bCs/>
          <w:color w:val="000000" w:themeColor="text1"/>
          <w:sz w:val="28"/>
          <w:szCs w:val="28"/>
          <w:highlight w:val="none"/>
          <w14:textFill>
            <w14:solidFill>
              <w14:schemeClr w14:val="tx1"/>
            </w14:solidFill>
          </w14:textFill>
        </w:rPr>
        <w:t>附件10：</w:t>
      </w:r>
    </w:p>
    <w:p>
      <w:pPr>
        <w:widowControl/>
        <w:spacing w:line="360" w:lineRule="atLeast"/>
        <w:ind w:right="105" w:firstLine="0" w:firstLineChars="0"/>
        <w:jc w:val="center"/>
        <w:rPr>
          <w:rFonts w:hAnsi="宋体" w:eastAsia="宋体" w:cs="宋体"/>
          <w:b/>
          <w:bCs/>
          <w:snapToGrid w:val="0"/>
          <w:color w:val="000000" w:themeColor="text1"/>
          <w:sz w:val="28"/>
          <w:szCs w:val="28"/>
          <w:highlight w:val="none"/>
          <w14:textFill>
            <w14:solidFill>
              <w14:schemeClr w14:val="tx1"/>
            </w14:solidFill>
          </w14:textFill>
        </w:rPr>
      </w:pPr>
      <w:r>
        <w:rPr>
          <w:rFonts w:hint="eastAsia" w:hAnsi="宋体" w:eastAsia="宋体" w:cs="宋体"/>
          <w:b/>
          <w:bCs/>
          <w:snapToGrid w:val="0"/>
          <w:color w:val="000000" w:themeColor="text1"/>
          <w:sz w:val="28"/>
          <w:szCs w:val="28"/>
          <w:highlight w:val="none"/>
          <w14:textFill>
            <w14:solidFill>
              <w14:schemeClr w14:val="tx1"/>
            </w14:solidFill>
          </w14:textFill>
        </w:rPr>
        <w:t>投标人类似业绩一览表</w:t>
      </w:r>
    </w:p>
    <w:p>
      <w:pPr>
        <w:pStyle w:val="44"/>
        <w:rPr>
          <w:rFonts w:ascii="宋体" w:hAnsi="宋体" w:eastAsia="宋体" w:cs="宋体"/>
          <w:color w:val="000000" w:themeColor="text1"/>
          <w:szCs w:val="24"/>
          <w:highlight w:val="none"/>
          <w14:textFill>
            <w14:solidFill>
              <w14:schemeClr w14:val="tx1"/>
            </w14:solidFill>
          </w14:textFill>
        </w:rPr>
      </w:pPr>
    </w:p>
    <w:tbl>
      <w:tblPr>
        <w:tblStyle w:val="31"/>
        <w:tblW w:w="10328" w:type="dxa"/>
        <w:jc w:val="center"/>
        <w:tblInd w:w="0"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
      <w:tblGrid>
        <w:gridCol w:w="1197"/>
        <w:gridCol w:w="2103"/>
        <w:gridCol w:w="2053"/>
        <w:gridCol w:w="1641"/>
        <w:gridCol w:w="1414"/>
        <w:gridCol w:w="192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4" w:hRule="atLeast"/>
          <w:jc w:val="center"/>
        </w:trPr>
        <w:tc>
          <w:tcPr>
            <w:tcW w:w="1197"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序号</w:t>
            </w:r>
          </w:p>
        </w:tc>
        <w:tc>
          <w:tcPr>
            <w:tcW w:w="2103" w:type="dxa"/>
            <w:tcBorders>
              <w:top w:val="single" w:color="auto" w:sz="4" w:space="0"/>
              <w:left w:val="single" w:color="auto" w:sz="4"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项目名称</w:t>
            </w:r>
          </w:p>
        </w:tc>
        <w:tc>
          <w:tcPr>
            <w:tcW w:w="2053"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highlight w:val="none"/>
                <w14:textFill>
                  <w14:solidFill>
                    <w14:schemeClr w14:val="tx1"/>
                  </w14:solidFill>
                </w14:textFill>
              </w:rPr>
              <w:t>建筑面积（万M</w:t>
            </w:r>
            <w:r>
              <w:rPr>
                <w:rFonts w:hint="eastAsia" w:hAnsi="宋体" w:eastAsia="宋体" w:cs="宋体"/>
                <w:color w:val="000000" w:themeColor="text1"/>
                <w:sz w:val="24"/>
                <w:szCs w:val="24"/>
                <w:highlight w:val="none"/>
                <w:vertAlign w:val="superscript"/>
                <w14:textFill>
                  <w14:solidFill>
                    <w14:schemeClr w14:val="tx1"/>
                  </w14:solidFill>
                </w14:textFill>
              </w:rPr>
              <w:t>2</w:t>
            </w:r>
            <w:r>
              <w:rPr>
                <w:rFonts w:hint="eastAsia" w:hAnsi="宋体" w:eastAsia="宋体" w:cs="宋体"/>
                <w:color w:val="000000" w:themeColor="text1"/>
                <w:sz w:val="24"/>
                <w:highlight w:val="none"/>
                <w14:textFill>
                  <w14:solidFill>
                    <w14:schemeClr w14:val="tx1"/>
                  </w14:solidFill>
                </w14:textFill>
              </w:rPr>
              <w:t>）</w:t>
            </w:r>
          </w:p>
        </w:tc>
        <w:tc>
          <w:tcPr>
            <w:tcW w:w="1641"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承接时间</w:t>
            </w:r>
          </w:p>
        </w:tc>
        <w:tc>
          <w:tcPr>
            <w:tcW w:w="1414" w:type="dxa"/>
            <w:tcBorders>
              <w:top w:val="single" w:color="auto" w:sz="4" w:space="0"/>
              <w:left w:val="single" w:color="auto" w:sz="6" w:space="0"/>
              <w:bottom w:val="single" w:color="auto" w:sz="6" w:space="0"/>
              <w:right w:val="single" w:color="auto" w:sz="6"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合同金额</w:t>
            </w:r>
          </w:p>
        </w:tc>
        <w:tc>
          <w:tcPr>
            <w:tcW w:w="1920" w:type="dxa"/>
            <w:tcBorders>
              <w:top w:val="single" w:color="auto" w:sz="4" w:space="0"/>
              <w:left w:val="single" w:color="auto" w:sz="4" w:space="0"/>
              <w:bottom w:val="single" w:color="auto" w:sz="6" w:space="0"/>
              <w:right w:val="single" w:color="auto" w:sz="4" w:space="0"/>
            </w:tcBorders>
            <w:noWrap/>
            <w:vAlign w:val="center"/>
          </w:tcPr>
          <w:p>
            <w:pPr>
              <w:spacing w:line="240" w:lineRule="auto"/>
              <w:ind w:right="105" w:firstLine="0" w:firstLineChars="0"/>
              <w:jc w:val="center"/>
              <w:rPr>
                <w:rFonts w:hAnsi="宋体" w:eastAsia="宋体" w:cs="宋体"/>
                <w:color w:val="000000" w:themeColor="text1"/>
                <w:sz w:val="24"/>
                <w:szCs w:val="24"/>
                <w:highlight w:val="none"/>
                <w14:textFill>
                  <w14:solidFill>
                    <w14:schemeClr w14:val="tx1"/>
                  </w14:solidFill>
                </w14:textFill>
              </w:rPr>
            </w:pPr>
            <w:r>
              <w:rPr>
                <w:rFonts w:hint="eastAsia" w:hAnsi="宋体" w:eastAsia="宋体" w:cs="宋体"/>
                <w:color w:val="000000" w:themeColor="text1"/>
                <w:sz w:val="24"/>
                <w:szCs w:val="24"/>
                <w:highlight w:val="none"/>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6"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4"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6"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609" w:hRule="atLeast"/>
          <w:jc w:val="center"/>
        </w:trPr>
        <w:tc>
          <w:tcPr>
            <w:tcW w:w="1197"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6" w:space="0"/>
              <w:right w:val="single" w:color="auto" w:sz="6"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6" w:space="0"/>
              <w:right w:val="single" w:color="auto" w:sz="6"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6" w:space="0"/>
              <w:right w:val="single" w:color="auto" w:sz="4" w:space="0"/>
            </w:tcBorders>
            <w:noWrap/>
            <w:vAlign w:val="center"/>
          </w:tcPr>
          <w:p>
            <w:pPr>
              <w:ind w:right="105" w:firstLine="480"/>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6"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6"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6"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6"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62"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520"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54" w:type="dxa"/>
            <w:bottom w:w="0" w:type="dxa"/>
            <w:right w:w="54" w:type="dxa"/>
          </w:tblCellMar>
        </w:tblPrEx>
        <w:trPr>
          <w:cantSplit/>
          <w:trHeight w:val="451" w:hRule="atLeast"/>
          <w:jc w:val="center"/>
        </w:trPr>
        <w:tc>
          <w:tcPr>
            <w:tcW w:w="1197"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103" w:type="dxa"/>
            <w:tcBorders>
              <w:top w:val="single" w:color="auto" w:sz="4" w:space="0"/>
              <w:left w:val="single" w:color="auto" w:sz="4"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2053"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641" w:type="dxa"/>
            <w:tcBorders>
              <w:top w:val="single" w:color="auto" w:sz="4" w:space="0"/>
              <w:left w:val="single" w:color="auto" w:sz="6" w:space="0"/>
              <w:bottom w:val="single" w:color="auto" w:sz="4" w:space="0"/>
              <w:right w:val="single" w:color="auto" w:sz="6"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414" w:type="dxa"/>
            <w:tcBorders>
              <w:top w:val="single" w:color="auto" w:sz="4" w:space="0"/>
              <w:left w:val="single" w:color="auto" w:sz="6"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c>
          <w:tcPr>
            <w:tcW w:w="1920" w:type="dxa"/>
            <w:tcBorders>
              <w:top w:val="single" w:color="auto" w:sz="4" w:space="0"/>
              <w:left w:val="single" w:color="auto" w:sz="4" w:space="0"/>
              <w:bottom w:val="single" w:color="auto" w:sz="4" w:space="0"/>
              <w:right w:val="single" w:color="auto" w:sz="4" w:space="0"/>
            </w:tcBorders>
            <w:noWrap/>
            <w:vAlign w:val="center"/>
          </w:tcPr>
          <w:p>
            <w:pPr>
              <w:ind w:right="105" w:firstLine="480"/>
              <w:jc w:val="center"/>
              <w:rPr>
                <w:rFonts w:hAnsi="宋体" w:eastAsia="宋体" w:cs="宋体"/>
                <w:color w:val="000000" w:themeColor="text1"/>
                <w:sz w:val="24"/>
                <w:szCs w:val="24"/>
                <w:highlight w:val="none"/>
                <w14:textFill>
                  <w14:solidFill>
                    <w14:schemeClr w14:val="tx1"/>
                  </w14:solidFill>
                </w14:textFill>
              </w:rPr>
            </w:pPr>
          </w:p>
        </w:tc>
      </w:tr>
    </w:tbl>
    <w:p>
      <w:pPr>
        <w:tabs>
          <w:tab w:val="left" w:pos="555"/>
          <w:tab w:val="left" w:pos="2214"/>
          <w:tab w:val="left" w:pos="3774"/>
          <w:tab w:val="left" w:pos="4854"/>
          <w:tab w:val="left" w:pos="5934"/>
          <w:tab w:val="left" w:pos="7014"/>
          <w:tab w:val="left" w:pos="8214"/>
          <w:tab w:val="left" w:pos="10134"/>
          <w:tab w:val="left" w:pos="11124"/>
        </w:tabs>
        <w:ind w:right="105" w:firstLine="482"/>
        <w:rPr>
          <w:rFonts w:hAnsi="宋体" w:eastAsia="宋体" w:cs="宋体"/>
          <w:b/>
          <w:color w:val="000000" w:themeColor="text1"/>
          <w:sz w:val="24"/>
          <w:szCs w:val="24"/>
          <w:highlight w:val="none"/>
          <w14:textFill>
            <w14:solidFill>
              <w14:schemeClr w14:val="tx1"/>
            </w14:solidFill>
          </w14:textFill>
        </w:rPr>
      </w:pPr>
      <w:r>
        <w:rPr>
          <w:rFonts w:hint="eastAsia" w:hAnsi="宋体" w:eastAsia="宋体" w:cs="宋体"/>
          <w:b/>
          <w:color w:val="000000" w:themeColor="text1"/>
          <w:sz w:val="24"/>
          <w:szCs w:val="24"/>
          <w:highlight w:val="none"/>
          <w14:textFill>
            <w14:solidFill>
              <w14:schemeClr w14:val="tx1"/>
            </w14:solidFill>
          </w14:textFill>
        </w:rPr>
        <w:t>注：</w:t>
      </w:r>
      <w:r>
        <w:rPr>
          <w:rFonts w:hint="eastAsia" w:hAnsi="宋体" w:eastAsia="宋体" w:cs="宋体"/>
          <w:color w:val="000000" w:themeColor="text1"/>
          <w:sz w:val="24"/>
          <w:szCs w:val="24"/>
          <w:highlight w:val="none"/>
          <w14:textFill>
            <w14:solidFill>
              <w14:schemeClr w14:val="tx1"/>
            </w14:solidFill>
          </w14:textFill>
        </w:rPr>
        <w:t>投标人（</w:t>
      </w:r>
      <w:r>
        <w:rPr>
          <w:rFonts w:hint="eastAsia" w:asciiTheme="majorEastAsia" w:hAnsiTheme="majorEastAsia" w:eastAsiaTheme="majorEastAsia" w:cstheme="majorEastAsia"/>
          <w:color w:val="000000" w:themeColor="text1"/>
          <w:sz w:val="24"/>
          <w:szCs w:val="24"/>
          <w:highlight w:val="none"/>
          <w:lang w:val="en-US" w:eastAsia="zh-CN"/>
          <w14:textFill>
            <w14:solidFill>
              <w14:schemeClr w14:val="tx1"/>
            </w14:solidFill>
          </w14:textFill>
        </w:rPr>
        <w:t>包括与投标人关联的相关公司及子公司</w:t>
      </w:r>
      <w:r>
        <w:rPr>
          <w:rFonts w:hint="eastAsia" w:hAnsi="宋体" w:eastAsia="宋体" w:cs="宋体"/>
          <w:color w:val="000000" w:themeColor="text1"/>
          <w:sz w:val="24"/>
          <w:szCs w:val="24"/>
          <w:highlight w:val="none"/>
          <w14:textFill>
            <w14:solidFill>
              <w14:schemeClr w14:val="tx1"/>
            </w14:solidFill>
          </w14:textFill>
        </w:rPr>
        <w:t>）以上类似项目需提供有关书面证明材料</w:t>
      </w:r>
      <w:r>
        <w:rPr>
          <w:rFonts w:hint="eastAsia" w:hAnsi="宋体" w:eastAsia="宋体" w:cs="宋体"/>
          <w:b/>
          <w:color w:val="000000" w:themeColor="text1"/>
          <w:sz w:val="24"/>
          <w:szCs w:val="24"/>
          <w:highlight w:val="none"/>
          <w14:textFill>
            <w14:solidFill>
              <w14:schemeClr w14:val="tx1"/>
            </w14:solidFill>
          </w14:textFill>
        </w:rPr>
        <w:t>。</w:t>
      </w:r>
    </w:p>
    <w:p>
      <w:pPr>
        <w:pStyle w:val="15"/>
        <w:ind w:right="105" w:firstLine="0" w:firstLineChars="0"/>
        <w:rPr>
          <w:rFonts w:ascii="宋体" w:hAnsi="宋体" w:eastAsia="宋体" w:cs="宋体"/>
          <w:bCs/>
          <w:snapToGrid w:val="0"/>
          <w:color w:val="000000" w:themeColor="text1"/>
          <w:sz w:val="28"/>
          <w:szCs w:val="28"/>
          <w:highlight w:val="none"/>
          <w14:textFill>
            <w14:solidFill>
              <w14:schemeClr w14:val="tx1"/>
            </w14:solidFill>
          </w14:textFill>
        </w:rPr>
      </w:pPr>
    </w:p>
    <w:p>
      <w:pPr>
        <w:pStyle w:val="15"/>
        <w:ind w:right="105" w:firstLine="0" w:firstLineChars="0"/>
        <w:rPr>
          <w:rFonts w:ascii="宋体" w:hAnsi="宋体" w:eastAsia="宋体" w:cs="宋体"/>
          <w:bCs/>
          <w:snapToGrid w:val="0"/>
          <w:color w:val="000000" w:themeColor="text1"/>
          <w:sz w:val="28"/>
          <w:szCs w:val="28"/>
          <w:highlight w:val="none"/>
          <w14:textFill>
            <w14:solidFill>
              <w14:schemeClr w14:val="tx1"/>
            </w14:solidFill>
          </w14:textFill>
        </w:rPr>
      </w:pPr>
    </w:p>
    <w:p>
      <w:pPr>
        <w:pStyle w:val="15"/>
        <w:ind w:left="732" w:leftChars="100" w:right="105" w:hanging="392" w:hangingChars="140"/>
        <w:rPr>
          <w:rFonts w:ascii="宋体" w:hAnsi="宋体" w:eastAsia="宋体" w:cs="宋体"/>
          <w:bCs/>
          <w:snapToGrid w:val="0"/>
          <w:color w:val="000000" w:themeColor="text1"/>
          <w:sz w:val="28"/>
          <w:szCs w:val="28"/>
          <w:highlight w:val="none"/>
          <w14:textFill>
            <w14:solidFill>
              <w14:schemeClr w14:val="tx1"/>
            </w14:solidFill>
          </w14:textFill>
        </w:rPr>
      </w:pPr>
      <w:r>
        <w:rPr>
          <w:rFonts w:hint="eastAsia" w:ascii="宋体" w:hAnsi="宋体" w:eastAsia="宋体" w:cs="宋体"/>
          <w:bCs/>
          <w:snapToGrid w:val="0"/>
          <w:color w:val="000000" w:themeColor="text1"/>
          <w:sz w:val="28"/>
          <w:szCs w:val="28"/>
          <w:highlight w:val="none"/>
          <w14:textFill>
            <w14:solidFill>
              <w14:schemeClr w14:val="tx1"/>
            </w14:solidFill>
          </w14:textFill>
        </w:rPr>
        <w:t>投标人名称：（盖单位公章）</w:t>
      </w:r>
    </w:p>
    <w:p>
      <w:pPr>
        <w:pStyle w:val="15"/>
        <w:ind w:left="732" w:leftChars="100" w:right="105" w:hanging="392" w:hangingChars="140"/>
        <w:rPr>
          <w:rFonts w:ascii="宋体" w:hAnsi="宋体" w:eastAsia="宋体" w:cs="宋体"/>
          <w:bCs/>
          <w:snapToGrid w:val="0"/>
          <w:color w:val="000000" w:themeColor="text1"/>
          <w:sz w:val="28"/>
          <w:szCs w:val="28"/>
          <w:highlight w:val="none"/>
          <w:u w:val="single"/>
          <w14:textFill>
            <w14:solidFill>
              <w14:schemeClr w14:val="tx1"/>
            </w14:solidFill>
          </w14:textFill>
        </w:rPr>
      </w:pPr>
      <w:r>
        <w:rPr>
          <w:rFonts w:hint="eastAsia" w:ascii="宋体" w:hAnsi="宋体" w:eastAsia="宋体" w:cs="宋体"/>
          <w:bCs/>
          <w:snapToGrid w:val="0"/>
          <w:color w:val="000000" w:themeColor="text1"/>
          <w:sz w:val="28"/>
          <w:szCs w:val="28"/>
          <w:highlight w:val="none"/>
          <w14:textFill>
            <w14:solidFill>
              <w14:schemeClr w14:val="tx1"/>
            </w14:solidFill>
          </w14:textFill>
        </w:rPr>
        <w:t>法定代表人或授权代表（签字）：</w:t>
      </w:r>
    </w:p>
    <w:p>
      <w:pPr>
        <w:pStyle w:val="15"/>
        <w:ind w:left="732" w:leftChars="100" w:right="105" w:hanging="392" w:hangingChars="140"/>
        <w:rPr>
          <w:rFonts w:ascii="宋体" w:hAnsi="宋体" w:eastAsia="宋体" w:cs="宋体"/>
          <w:bCs/>
          <w:snapToGrid w:val="0"/>
          <w:color w:val="000000" w:themeColor="text1"/>
          <w:sz w:val="28"/>
          <w:szCs w:val="28"/>
          <w:highlight w:val="none"/>
          <w14:textFill>
            <w14:solidFill>
              <w14:schemeClr w14:val="tx1"/>
            </w14:solidFill>
          </w14:textFill>
        </w:rPr>
      </w:pPr>
      <w:r>
        <w:rPr>
          <w:rFonts w:hint="eastAsia" w:ascii="宋体" w:hAnsi="宋体" w:eastAsia="宋体" w:cs="宋体"/>
          <w:bCs/>
          <w:snapToGrid w:val="0"/>
          <w:color w:val="000000" w:themeColor="text1"/>
          <w:sz w:val="28"/>
          <w:szCs w:val="28"/>
          <w:highlight w:val="none"/>
          <w14:textFill>
            <w14:solidFill>
              <w14:schemeClr w14:val="tx1"/>
            </w14:solidFill>
          </w14:textFill>
        </w:rPr>
        <w:t xml:space="preserve"> 日期：    年   月    日</w:t>
      </w:r>
    </w:p>
    <w:p>
      <w:pPr>
        <w:pStyle w:val="10"/>
        <w:ind w:right="105"/>
        <w:rPr>
          <w:rFonts w:ascii="宋体" w:hAnsi="宋体" w:eastAsia="宋体" w:cs="宋体"/>
          <w:color w:val="000000" w:themeColor="text1"/>
          <w:highlight w:val="none"/>
          <w14:textFill>
            <w14:solidFill>
              <w14:schemeClr w14:val="tx1"/>
            </w14:solidFill>
          </w14:textFill>
        </w:rPr>
      </w:pPr>
    </w:p>
    <w:p>
      <w:pPr>
        <w:ind w:right="105" w:firstLine="680"/>
        <w:rPr>
          <w:rFonts w:hAnsi="宋体" w:eastAsia="宋体" w:cs="宋体"/>
          <w:color w:val="000000" w:themeColor="text1"/>
          <w:highlight w:val="none"/>
          <w14:textFill>
            <w14:solidFill>
              <w14:schemeClr w14:val="tx1"/>
            </w14:solidFill>
          </w14:textFill>
        </w:rPr>
      </w:pPr>
    </w:p>
    <w:p>
      <w:pPr>
        <w:pStyle w:val="7"/>
        <w:ind w:right="105"/>
        <w:rPr>
          <w:rFonts w:ascii="宋体" w:hAnsi="宋体" w:eastAsia="宋体" w:cs="宋体"/>
          <w:color w:val="000000" w:themeColor="text1"/>
          <w:highlight w:val="none"/>
          <w14:textFill>
            <w14:solidFill>
              <w14:schemeClr w14:val="tx1"/>
            </w14:solidFill>
          </w14:textFill>
        </w:rPr>
      </w:pPr>
    </w:p>
    <w:p>
      <w:pPr>
        <w:rPr>
          <w:rFonts w:hint="eastAsia" w:ascii="宋体" w:hAnsi="宋体" w:eastAsia="宋体" w:cs="宋体"/>
          <w:color w:val="000000" w:themeColor="text1"/>
          <w:sz w:val="28"/>
          <w:szCs w:val="28"/>
          <w:highlight w:val="none"/>
          <w14:textFill>
            <w14:solidFill>
              <w14:schemeClr w14:val="tx1"/>
            </w14:solidFill>
          </w14:textFill>
        </w:rPr>
      </w:pPr>
      <w:r>
        <w:rPr>
          <w:color w:val="000000" w:themeColor="text1"/>
          <w:highlight w:val="none"/>
          <w14:textFill>
            <w14:solidFill>
              <w14:schemeClr w14:val="tx1"/>
            </w14:solidFill>
          </w14:textFill>
        </w:rPr>
        <w:br w:type="textWrapping"/>
      </w:r>
      <w:r>
        <w:rPr>
          <w:rFonts w:hint="eastAsia" w:ascii="宋体" w:hAnsi="宋体" w:eastAsia="宋体" w:cs="宋体"/>
          <w:bCs/>
          <w:color w:val="000000" w:themeColor="text1"/>
          <w:sz w:val="28"/>
          <w:szCs w:val="28"/>
          <w:highlight w:val="none"/>
          <w14:textFill>
            <w14:solidFill>
              <w14:schemeClr w14:val="tx1"/>
            </w14:solidFill>
          </w14:textFill>
        </w:rPr>
        <w:t>附件</w:t>
      </w:r>
      <w:r>
        <w:rPr>
          <w:rFonts w:hint="eastAsia" w:ascii="宋体" w:hAnsi="宋体" w:eastAsia="宋体" w:cs="宋体"/>
          <w:bCs/>
          <w:color w:val="000000" w:themeColor="text1"/>
          <w:sz w:val="28"/>
          <w:szCs w:val="28"/>
          <w:highlight w:val="none"/>
          <w:lang w:val="en-US" w:eastAsia="zh-CN"/>
          <w14:textFill>
            <w14:solidFill>
              <w14:schemeClr w14:val="tx1"/>
            </w14:solidFill>
          </w14:textFill>
        </w:rPr>
        <w:t>1</w:t>
      </w:r>
      <w:r>
        <w:rPr>
          <w:rFonts w:hint="eastAsia" w:hAnsi="宋体" w:eastAsia="宋体" w:cs="宋体"/>
          <w:bCs/>
          <w:color w:val="000000" w:themeColor="text1"/>
          <w:sz w:val="28"/>
          <w:szCs w:val="28"/>
          <w:highlight w:val="none"/>
          <w:lang w:val="en-US" w:eastAsia="zh-CN"/>
          <w14:textFill>
            <w14:solidFill>
              <w14:schemeClr w14:val="tx1"/>
            </w14:solidFill>
          </w14:textFill>
        </w:rPr>
        <w:t>1</w:t>
      </w:r>
      <w:r>
        <w:rPr>
          <w:rFonts w:hint="eastAsia" w:ascii="宋体" w:hAnsi="宋体" w:eastAsia="宋体" w:cs="宋体"/>
          <w:bCs/>
          <w:color w:val="000000" w:themeColor="text1"/>
          <w:sz w:val="28"/>
          <w:szCs w:val="28"/>
          <w:highlight w:val="none"/>
          <w14:textFill>
            <w14:solidFill>
              <w14:schemeClr w14:val="tx1"/>
            </w14:solidFill>
          </w14:textFill>
        </w:rPr>
        <w:t>：</w:t>
      </w:r>
    </w:p>
    <w:p>
      <w:pPr>
        <w:pStyle w:val="8"/>
        <w:rPr>
          <w:rFonts w:hint="eastAsia"/>
          <w:color w:val="000000" w:themeColor="text1"/>
          <w:highlight w:val="none"/>
          <w14:textFill>
            <w14:solidFill>
              <w14:schemeClr w14:val="tx1"/>
            </w14:solidFill>
          </w14:textFill>
        </w:rPr>
      </w:pPr>
    </w:p>
    <w:p>
      <w:pPr>
        <w:jc w:val="center"/>
        <w:outlineLvl w:val="9"/>
        <w:rPr>
          <w:rFonts w:hint="eastAsia" w:asciiTheme="majorEastAsia" w:hAnsiTheme="majorEastAsia" w:eastAsiaTheme="majorEastAsia" w:cstheme="majorEastAsia"/>
          <w:b/>
          <w:color w:val="000000" w:themeColor="text1"/>
          <w:sz w:val="28"/>
          <w:szCs w:val="28"/>
          <w:highlight w:val="none"/>
          <w14:textFill>
            <w14:solidFill>
              <w14:schemeClr w14:val="tx1"/>
            </w14:solidFill>
          </w14:textFill>
        </w:rPr>
      </w:pPr>
      <w:bookmarkStart w:id="19" w:name="_Toc19284"/>
      <w:bookmarkStart w:id="20" w:name="_Toc483580930"/>
      <w:r>
        <w:rPr>
          <w:rFonts w:hint="eastAsia" w:asciiTheme="majorEastAsia" w:hAnsiTheme="majorEastAsia" w:eastAsiaTheme="majorEastAsia" w:cstheme="majorEastAsia"/>
          <w:b/>
          <w:color w:val="000000" w:themeColor="text1"/>
          <w:sz w:val="28"/>
          <w:szCs w:val="28"/>
          <w:highlight w:val="none"/>
          <w14:textFill>
            <w14:solidFill>
              <w14:schemeClr w14:val="tx1"/>
            </w14:solidFill>
          </w14:textFill>
        </w:rPr>
        <w:t>投标保证金</w:t>
      </w:r>
      <w:bookmarkEnd w:id="19"/>
      <w:bookmarkEnd w:id="20"/>
    </w:p>
    <w:p>
      <w:pPr>
        <w:ind w:firstLine="480"/>
        <w:rPr>
          <w:rFonts w:asciiTheme="majorEastAsia" w:hAnsiTheme="majorEastAsia" w:eastAsiaTheme="majorEastAsia" w:cstheme="majorEastAsia"/>
          <w:bCs/>
          <w:color w:val="000000" w:themeColor="text1"/>
          <w:sz w:val="24"/>
          <w:szCs w:val="24"/>
          <w:highlight w:val="none"/>
          <w:u w:val="single"/>
          <w14:textFill>
            <w14:solidFill>
              <w14:schemeClr w14:val="tx1"/>
            </w14:solidFill>
          </w14:textFill>
        </w:rPr>
      </w:pPr>
    </w:p>
    <w:p>
      <w:pPr>
        <w:spacing w:before="60" w:after="60"/>
        <w:ind w:left="0" w:leftChars="0" w:firstLine="0" w:firstLineChars="0"/>
        <w:jc w:val="left"/>
        <w:rPr>
          <w:rFonts w:asciiTheme="majorEastAsia" w:hAnsiTheme="majorEastAsia" w:eastAsiaTheme="majorEastAsia" w:cstheme="majorEastAsia"/>
          <w:bCs/>
          <w:color w:val="000000" w:themeColor="text1"/>
          <w:sz w:val="28"/>
          <w:szCs w:val="28"/>
          <w:highlight w:val="none"/>
          <w:u w:val="single"/>
          <w14:textFill>
            <w14:solidFill>
              <w14:schemeClr w14:val="tx1"/>
            </w14:solidFill>
          </w14:textFill>
        </w:rPr>
      </w:pPr>
      <w:r>
        <w:rPr>
          <w:rFonts w:hint="eastAsia" w:hAnsi="宋体" w:eastAsia="宋体" w:cs="宋体"/>
          <w:color w:val="000000" w:themeColor="text1"/>
          <w:sz w:val="28"/>
          <w:szCs w:val="28"/>
          <w:highlight w:val="none"/>
          <w:u w:val="single"/>
          <w:lang w:val="en-US" w:eastAsia="zh-CN"/>
          <w14:textFill>
            <w14:solidFill>
              <w14:schemeClr w14:val="tx1"/>
            </w14:solidFill>
          </w14:textFill>
        </w:rPr>
        <w:t>四川东辰（集团）股份有限公司</w:t>
      </w:r>
      <w:r>
        <w:rPr>
          <w:rFonts w:hint="eastAsia" w:ascii="宋体" w:hAnsi="宋体" w:eastAsia="宋体" w:cs="宋体"/>
          <w:b/>
          <w:bCs/>
          <w:snapToGrid w:val="0"/>
          <w:color w:val="000000" w:themeColor="text1"/>
          <w:kern w:val="0"/>
          <w:sz w:val="28"/>
          <w:szCs w:val="28"/>
          <w:highlight w:val="none"/>
          <w:u w:val="single"/>
          <w14:textFill>
            <w14:solidFill>
              <w14:schemeClr w14:val="tx1"/>
            </w14:solidFill>
          </w14:textFill>
        </w:rPr>
        <w:t>：</w:t>
      </w:r>
    </w:p>
    <w:p>
      <w:pPr>
        <w:ind w:firstLine="48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p>
    <w:p>
      <w:pPr>
        <w:ind w:firstLine="48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本投标人自愿参加</w:t>
      </w:r>
      <w:r>
        <w:rPr>
          <w:rFonts w:hint="eastAsia" w:hAnsi="宋体" w:eastAsia="宋体" w:cs="宋体"/>
          <w:color w:val="000000" w:themeColor="text1"/>
          <w:sz w:val="28"/>
          <w:szCs w:val="28"/>
          <w:highlight w:val="none"/>
          <w:u w:val="single"/>
          <w:lang w:val="zh-TW" w:eastAsia="zh-TW"/>
          <w14:textFill>
            <w14:solidFill>
              <w14:schemeClr w14:val="tx1"/>
            </w14:solidFill>
          </w14:textFill>
        </w:rPr>
        <w:t>2025—2027年东辰集团</w:t>
      </w:r>
      <w:r>
        <w:rPr>
          <w:rFonts w:hint="eastAsia" w:hAnsi="宋体" w:eastAsia="宋体" w:cs="宋体"/>
          <w:color w:val="000000" w:themeColor="text1"/>
          <w:sz w:val="28"/>
          <w:szCs w:val="28"/>
          <w:highlight w:val="none"/>
          <w:u w:val="single"/>
          <w:lang w:val="en-US" w:eastAsia="zh-CN"/>
          <w14:textFill>
            <w14:solidFill>
              <w14:schemeClr w14:val="tx1"/>
            </w14:solidFill>
          </w14:textFill>
        </w:rPr>
        <w:t>住宅物业</w:t>
      </w:r>
      <w:r>
        <w:rPr>
          <w:rFonts w:hint="eastAsia" w:hAnsi="宋体" w:eastAsia="宋体" w:cs="宋体"/>
          <w:color w:val="000000" w:themeColor="text1"/>
          <w:sz w:val="28"/>
          <w:szCs w:val="28"/>
          <w:highlight w:val="none"/>
          <w:u w:val="single"/>
          <w:lang w:val="zh-TW" w:eastAsia="zh-TW"/>
          <w14:textFill>
            <w14:solidFill>
              <w14:schemeClr w14:val="tx1"/>
            </w14:solidFill>
          </w14:textFill>
        </w:rPr>
        <w:t>板块保安服务采购</w:t>
      </w: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的投标，并按招标文件要求交纳投标保证金，金额为人民币（大写）</w:t>
      </w:r>
      <w:r>
        <w:rPr>
          <w:rFonts w:hint="eastAsia" w:asciiTheme="majorEastAsia" w:hAnsiTheme="majorEastAsia" w:eastAsiaTheme="majorEastAsia" w:cstheme="majorEastAsia"/>
          <w:bCs/>
          <w:color w:val="000000" w:themeColor="text1"/>
          <w:sz w:val="28"/>
          <w:szCs w:val="28"/>
          <w:highlight w:val="none"/>
          <w:lang w:eastAsia="zh-CN"/>
          <w14:textFill>
            <w14:solidFill>
              <w14:schemeClr w14:val="tx1"/>
            </w14:solidFill>
          </w14:textFill>
        </w:rPr>
        <w:t>：</w:t>
      </w:r>
      <w:r>
        <w:rPr>
          <w:rFonts w:hint="eastAsia" w:asciiTheme="majorEastAsia" w:hAnsiTheme="majorEastAsia" w:eastAsiaTheme="majorEastAsia" w:cstheme="majorEastAsia"/>
          <w:bCs/>
          <w:color w:val="000000" w:themeColor="text1"/>
          <w:sz w:val="28"/>
          <w:szCs w:val="28"/>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元（¥</w:t>
      </w:r>
      <w:r>
        <w:rPr>
          <w:rFonts w:hint="eastAsia" w:asciiTheme="majorEastAsia" w:hAnsiTheme="majorEastAsia" w:eastAsiaTheme="majorEastAsia" w:cstheme="majorEastAsia"/>
          <w:bCs/>
          <w:color w:val="000000" w:themeColor="text1"/>
          <w:sz w:val="28"/>
          <w:szCs w:val="28"/>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w:t>
      </w:r>
    </w:p>
    <w:p>
      <w:pPr>
        <w:ind w:firstLine="48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本投标人承诺所交纳投标保证金是本公司以转账方式交纳的，若有虚假，由此引起的一切责任均由我公司承担。</w:t>
      </w:r>
    </w:p>
    <w:p>
      <w:pPr>
        <w:ind w:firstLine="48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p>
    <w:p>
      <w:pPr>
        <w:ind w:firstLine="0" w:firstLineChars="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p>
    <w:p>
      <w:pPr>
        <w:ind w:firstLine="480"/>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投 标 人名称：（盖单位公章）</w:t>
      </w:r>
    </w:p>
    <w:p>
      <w:pPr>
        <w:ind w:firstLine="480"/>
        <w:jc w:val="left"/>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p>
    <w:p>
      <w:pPr>
        <w:ind w:firstLine="480"/>
        <w:jc w:val="left"/>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法定代表人或授权代表：（签字）</w:t>
      </w:r>
    </w:p>
    <w:p>
      <w:pPr>
        <w:ind w:firstLine="480"/>
        <w:jc w:val="center"/>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p>
    <w:p>
      <w:pPr>
        <w:ind w:firstLine="480"/>
        <w:jc w:val="left"/>
        <w:rPr>
          <w:rFonts w:asciiTheme="majorEastAsia" w:hAnsiTheme="majorEastAsia" w:eastAsiaTheme="majorEastAsia" w:cstheme="majorEastAsia"/>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日期： 年</w:t>
      </w:r>
      <w:r>
        <w:rPr>
          <w:rFonts w:hint="eastAsia" w:asciiTheme="majorEastAsia" w:hAnsiTheme="majorEastAsia" w:eastAsiaTheme="majorEastAsia" w:cstheme="majorEastAsia"/>
          <w:bCs/>
          <w:color w:val="000000" w:themeColor="text1"/>
          <w:sz w:val="28"/>
          <w:szCs w:val="28"/>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月</w:t>
      </w:r>
      <w:r>
        <w:rPr>
          <w:rFonts w:hint="eastAsia" w:asciiTheme="majorEastAsia" w:hAnsiTheme="majorEastAsia" w:eastAsiaTheme="majorEastAsia" w:cstheme="majorEastAsia"/>
          <w:bCs/>
          <w:color w:val="000000" w:themeColor="text1"/>
          <w:sz w:val="28"/>
          <w:szCs w:val="28"/>
          <w:highlight w:val="none"/>
          <w:lang w:val="en-US" w:eastAsia="zh-CN"/>
          <w14:textFill>
            <w14:solidFill>
              <w14:schemeClr w14:val="tx1"/>
            </w14:solidFill>
          </w14:textFill>
        </w:rPr>
        <w:t xml:space="preserve">   </w:t>
      </w:r>
      <w:r>
        <w:rPr>
          <w:rFonts w:hint="eastAsia" w:asciiTheme="majorEastAsia" w:hAnsiTheme="majorEastAsia" w:eastAsiaTheme="majorEastAsia" w:cstheme="majorEastAsia"/>
          <w:bCs/>
          <w:color w:val="000000" w:themeColor="text1"/>
          <w:sz w:val="28"/>
          <w:szCs w:val="28"/>
          <w:highlight w:val="none"/>
          <w14:textFill>
            <w14:solidFill>
              <w14:schemeClr w14:val="tx1"/>
            </w14:solidFill>
          </w14:textFill>
        </w:rPr>
        <w:t>日</w:t>
      </w:r>
    </w:p>
    <w:p>
      <w:pPr>
        <w:pStyle w:val="15"/>
        <w:spacing w:before="312" w:beforeLines="100" w:after="312" w:afterLines="100" w:line="240" w:lineRule="auto"/>
        <w:ind w:firstLine="0" w:firstLineChars="0"/>
        <w:jc w:val="left"/>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p>
    <w:p>
      <w:pPr>
        <w:ind w:firstLine="562"/>
        <w:rPr>
          <w:rFonts w:asciiTheme="majorEastAsia" w:hAnsiTheme="majorEastAsia" w:eastAsiaTheme="majorEastAsia" w:cstheme="majorEastAsia"/>
          <w:b/>
          <w:bCs/>
          <w:color w:val="000000" w:themeColor="text1"/>
          <w:sz w:val="28"/>
          <w:szCs w:val="28"/>
          <w:highlight w:val="none"/>
          <w14:textFill>
            <w14:solidFill>
              <w14:schemeClr w14:val="tx1"/>
            </w14:solidFill>
          </w14:textFill>
        </w:rPr>
      </w:pP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附</w:t>
      </w:r>
      <w:r>
        <w:rPr>
          <w:rFonts w:hint="eastAsia" w:asciiTheme="majorEastAsia" w:hAnsiTheme="majorEastAsia" w:eastAsiaTheme="majorEastAsia" w:cstheme="majorEastAsia"/>
          <w:b/>
          <w:bCs/>
          <w:color w:val="000000" w:themeColor="text1"/>
          <w:sz w:val="28"/>
          <w:szCs w:val="28"/>
          <w:highlight w:val="none"/>
          <w:lang w:eastAsia="zh-CN"/>
          <w14:textFill>
            <w14:solidFill>
              <w14:schemeClr w14:val="tx1"/>
            </w14:solidFill>
          </w14:textFill>
        </w:rPr>
        <w:t>：</w:t>
      </w:r>
      <w:r>
        <w:rPr>
          <w:rFonts w:hint="eastAsia" w:asciiTheme="majorEastAsia" w:hAnsiTheme="majorEastAsia" w:eastAsiaTheme="majorEastAsia" w:cstheme="majorEastAsia"/>
          <w:b/>
          <w:bCs/>
          <w:color w:val="000000" w:themeColor="text1"/>
          <w:sz w:val="28"/>
          <w:szCs w:val="28"/>
          <w:highlight w:val="none"/>
          <w14:textFill>
            <w14:solidFill>
              <w14:schemeClr w14:val="tx1"/>
            </w14:solidFill>
          </w14:textFill>
        </w:rPr>
        <w:t>银行转账凭证复印件。</w:t>
      </w:r>
    </w:p>
    <w:p>
      <w:pPr>
        <w:ind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p>
    <w:p>
      <w:pPr>
        <w:ind w:firstLine="480"/>
        <w:rPr>
          <w:rFonts w:asciiTheme="majorEastAsia" w:hAnsiTheme="majorEastAsia" w:eastAsiaTheme="majorEastAsia" w:cstheme="majorEastAsia"/>
          <w:snapToGrid w:val="0"/>
          <w:color w:val="000000" w:themeColor="text1"/>
          <w:sz w:val="24"/>
          <w:szCs w:val="24"/>
          <w:highlight w:val="none"/>
          <w14:textFill>
            <w14:solidFill>
              <w14:schemeClr w14:val="tx1"/>
            </w14:solidFill>
          </w14:textFill>
        </w:rPr>
      </w:pPr>
    </w:p>
    <w:p>
      <w:pPr>
        <w:spacing w:line="380" w:lineRule="exact"/>
        <w:ind w:firstLine="562"/>
        <w:rPr>
          <w:rFonts w:hint="eastAsia" w:asciiTheme="majorEastAsia" w:hAnsiTheme="majorEastAsia" w:eastAsiaTheme="majorEastAsia" w:cstheme="majorEastAsia"/>
          <w:b/>
          <w:snapToGrid w:val="0"/>
          <w:color w:val="000000" w:themeColor="text1"/>
          <w:sz w:val="28"/>
          <w:szCs w:val="28"/>
          <w:highlight w:val="none"/>
          <w14:textFill>
            <w14:solidFill>
              <w14:schemeClr w14:val="tx1"/>
            </w14:solidFill>
          </w14:textFill>
        </w:rPr>
      </w:pPr>
    </w:p>
    <w:p>
      <w:pPr>
        <w:spacing w:line="380" w:lineRule="exact"/>
        <w:ind w:left="0" w:leftChars="0" w:firstLine="0" w:firstLineChars="0"/>
        <w:rPr>
          <w:color w:val="000000" w:themeColor="text1"/>
          <w:highlight w:val="none"/>
          <w14:textFill>
            <w14:solidFill>
              <w14:schemeClr w14:val="tx1"/>
            </w14:solidFill>
          </w14:textFill>
        </w:rPr>
      </w:pPr>
      <w:r>
        <w:rPr>
          <w:rFonts w:hint="eastAsia" w:asciiTheme="majorEastAsia" w:hAnsiTheme="majorEastAsia" w:eastAsiaTheme="majorEastAsia" w:cstheme="majorEastAsia"/>
          <w:b/>
          <w:snapToGrid w:val="0"/>
          <w:color w:val="000000" w:themeColor="text1"/>
          <w:sz w:val="28"/>
          <w:szCs w:val="28"/>
          <w:highlight w:val="none"/>
          <w14:textFill>
            <w14:solidFill>
              <w14:schemeClr w14:val="tx1"/>
            </w14:solidFill>
          </w14:textFill>
        </w:rPr>
        <w:t>特别说明：本文件内容及格式为实质性要求。</w:t>
      </w:r>
    </w:p>
    <w:p>
      <w:pPr>
        <w:pStyle w:val="8"/>
        <w:ind w:right="105" w:firstLine="420"/>
        <w:rPr>
          <w:color w:val="000000" w:themeColor="text1"/>
          <w:highlight w:val="none"/>
          <w14:textFill>
            <w14:solidFill>
              <w14:schemeClr w14:val="tx1"/>
            </w14:solidFill>
          </w14:textFill>
        </w:rPr>
      </w:pPr>
    </w:p>
    <w:bookmarkEnd w:id="14"/>
    <w:bookmarkEnd w:id="18"/>
    <w:p>
      <w:pPr>
        <w:ind w:right="105" w:firstLine="680"/>
        <w:rPr>
          <w:color w:val="000000" w:themeColor="text1"/>
          <w:highlight w:val="none"/>
          <w14:textFill>
            <w14:solidFill>
              <w14:schemeClr w14:val="tx1"/>
            </w14:solidFill>
          </w14:textFill>
        </w:rPr>
      </w:pPr>
    </w:p>
    <w:p>
      <w:pPr>
        <w:spacing w:line="240" w:lineRule="auto"/>
        <w:ind w:firstLine="0" w:firstLineChars="0"/>
        <w:jc w:val="both"/>
        <w:rPr>
          <w:rFonts w:hint="eastAsia" w:asciiTheme="minorEastAsia" w:hAnsiTheme="minorEastAsia" w:eastAsiaTheme="minorEastAsia" w:cstheme="minorEastAsia"/>
          <w:b/>
          <w:bCs/>
          <w:color w:val="000000" w:themeColor="text1"/>
          <w:sz w:val="24"/>
          <w:szCs w:val="24"/>
          <w:highlight w:val="none"/>
          <w:lang w:val="en-US" w:eastAsia="zh-CN"/>
          <w14:textFill>
            <w14:solidFill>
              <w14:schemeClr w14:val="tx1"/>
            </w14:solidFill>
          </w14:textFill>
        </w:rPr>
      </w:pPr>
    </w:p>
    <w:p>
      <w:pPr>
        <w:pStyle w:val="10"/>
        <w:tabs>
          <w:tab w:val="left" w:pos="2064"/>
          <w:tab w:val="left" w:pos="2902"/>
          <w:tab w:val="left" w:pos="3744"/>
          <w:tab w:val="left" w:pos="6126"/>
          <w:tab w:val="left" w:pos="7522"/>
          <w:tab w:val="left" w:pos="8365"/>
        </w:tabs>
        <w:autoSpaceDE w:val="0"/>
        <w:autoSpaceDN w:val="0"/>
        <w:spacing w:line="360" w:lineRule="auto"/>
        <w:jc w:val="center"/>
        <w:rPr>
          <w:rFonts w:hint="eastAsia" w:ascii="仿宋" w:hAnsi="仿宋" w:eastAsia="仿宋" w:cs="仿宋"/>
          <w:b/>
          <w:bCs/>
          <w:color w:val="000000" w:themeColor="text1"/>
          <w:sz w:val="24"/>
          <w:highlight w:val="none"/>
          <w:lang w:val="en-US" w:eastAsia="zh-CN"/>
          <w14:textFill>
            <w14:solidFill>
              <w14:schemeClr w14:val="tx1"/>
            </w14:solidFill>
          </w14:textFill>
        </w:rPr>
      </w:pPr>
      <w:r>
        <w:rPr>
          <w:rFonts w:hint="eastAsia" w:ascii="仿宋" w:hAnsi="仿宋" w:eastAsia="仿宋" w:cs="仿宋"/>
          <w:color w:val="000000" w:themeColor="text1"/>
          <w:sz w:val="52"/>
          <w:szCs w:val="52"/>
          <w:highlight w:val="none"/>
          <w:lang w:val="en-US" w:eastAsia="zh-CN"/>
          <w14:textFill>
            <w14:solidFill>
              <w14:schemeClr w14:val="tx1"/>
            </w14:solidFill>
          </w14:textFill>
        </w:rPr>
        <w:t>第六章合同样板</w:t>
      </w:r>
      <w:r>
        <w:rPr>
          <w:rFonts w:hint="eastAsia" w:ascii="仿宋" w:hAnsi="仿宋" w:eastAsia="仿宋" w:cs="仿宋"/>
          <w:color w:val="000000" w:themeColor="text1"/>
          <w:sz w:val="52"/>
          <w:szCs w:val="52"/>
          <w:highlight w:val="none"/>
          <w14:textFill>
            <w14:solidFill>
              <w14:schemeClr w14:val="tx1"/>
            </w14:solidFill>
          </w14:textFill>
        </w:rPr>
        <w:t xml:space="preserve">    </w:t>
      </w:r>
      <w:r>
        <w:rPr>
          <w:rFonts w:hint="eastAsia" w:ascii="仿宋" w:hAnsi="仿宋" w:eastAsia="仿宋" w:cs="仿宋"/>
          <w:color w:val="000000" w:themeColor="text1"/>
          <w:sz w:val="24"/>
          <w:highlight w:val="none"/>
          <w14:textFill>
            <w14:solidFill>
              <w14:schemeClr w14:val="tx1"/>
            </w14:solidFill>
          </w14:textFill>
        </w:rPr>
        <w:t xml:space="preserve">           </w:t>
      </w:r>
    </w:p>
    <w:p>
      <w:pPr>
        <w:ind w:left="0" w:leftChars="0" w:firstLine="6720" w:firstLineChars="2800"/>
        <w:jc w:val="both"/>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合同编号:</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甲</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b/>
          <w:bCs/>
          <w:color w:val="000000" w:themeColor="text1"/>
          <w:sz w:val="24"/>
          <w:szCs w:val="24"/>
          <w:highlight w:val="none"/>
          <w14:textFill>
            <w14:solidFill>
              <w14:schemeClr w14:val="tx1"/>
            </w14:solidFill>
          </w14:textFill>
        </w:rPr>
        <w:t>方:</w:t>
      </w:r>
      <w:r>
        <w:rPr>
          <w:rFonts w:hint="eastAsia"/>
          <w:color w:val="000000" w:themeColor="text1"/>
          <w:sz w:val="24"/>
          <w:szCs w:val="24"/>
          <w:highlight w:val="none"/>
          <w:u w:val="single"/>
          <w:lang w:val="en-US" w:eastAsia="zh-CN"/>
          <w14:textFill>
            <w14:solidFill>
              <w14:schemeClr w14:val="tx1"/>
            </w14:solidFill>
          </w14:textFill>
        </w:rPr>
        <w:t xml:space="preserve">   </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地</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b/>
          <w:bCs/>
          <w:color w:val="000000" w:themeColor="text1"/>
          <w:sz w:val="24"/>
          <w:szCs w:val="24"/>
          <w:highlight w:val="none"/>
          <w14:textFill>
            <w14:solidFill>
              <w14:schemeClr w14:val="tx1"/>
            </w14:solidFill>
          </w14:textFill>
        </w:rPr>
        <w:t xml:space="preserve">址: </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 xml:space="preserve">法定代表人或授权代表人: </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u w:val="single"/>
          <w:lang w:val="en-US" w:eastAsia="zh-CN"/>
          <w14:textFill>
            <w14:solidFill>
              <w14:schemeClr w14:val="tx1"/>
            </w14:solidFill>
          </w14:textFill>
        </w:rPr>
        <w:t xml:space="preserve">          </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乙</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b/>
          <w:bCs/>
          <w:color w:val="000000" w:themeColor="text1"/>
          <w:sz w:val="24"/>
          <w:szCs w:val="24"/>
          <w:highlight w:val="none"/>
          <w14:textFill>
            <w14:solidFill>
              <w14:schemeClr w14:val="tx1"/>
            </w14:solidFill>
          </w14:textFill>
        </w:rPr>
        <w:t>方:</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u w:val="single"/>
          <w:lang w:val="en-US" w:eastAsia="zh-CN"/>
          <w14:textFill>
            <w14:solidFill>
              <w14:schemeClr w14:val="tx1"/>
            </w14:solidFill>
          </w14:textFill>
        </w:rPr>
        <w:t xml:space="preserve">       </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地</w:t>
      </w:r>
      <w:r>
        <w:rPr>
          <w:rFonts w:hint="eastAsia"/>
          <w:b/>
          <w:bCs/>
          <w:color w:val="000000" w:themeColor="text1"/>
          <w:sz w:val="24"/>
          <w:szCs w:val="24"/>
          <w:highlight w:val="none"/>
          <w:lang w:val="en-US" w:eastAsia="zh-CN"/>
          <w14:textFill>
            <w14:solidFill>
              <w14:schemeClr w14:val="tx1"/>
            </w14:solidFill>
          </w14:textFill>
        </w:rPr>
        <w:t xml:space="preserve">  </w:t>
      </w:r>
      <w:r>
        <w:rPr>
          <w:rFonts w:hint="eastAsia"/>
          <w:b/>
          <w:bCs/>
          <w:color w:val="000000" w:themeColor="text1"/>
          <w:sz w:val="24"/>
          <w:szCs w:val="24"/>
          <w:highlight w:val="none"/>
          <w14:textFill>
            <w14:solidFill>
              <w14:schemeClr w14:val="tx1"/>
            </w14:solidFill>
          </w14:textFill>
        </w:rPr>
        <w:t>址</w:t>
      </w:r>
      <w:r>
        <w:rPr>
          <w:rFonts w:hint="eastAsia"/>
          <w:color w:val="000000" w:themeColor="text1"/>
          <w:sz w:val="24"/>
          <w:szCs w:val="24"/>
          <w:highlight w:val="none"/>
          <w:u w:val="single"/>
          <w:lang w:val="en-US" w:eastAsia="zh-CN"/>
          <w14:textFill>
            <w14:solidFill>
              <w14:schemeClr w14:val="tx1"/>
            </w14:solidFill>
          </w14:textFill>
        </w:rPr>
        <w:t xml:space="preserve">         </w:t>
      </w:r>
    </w:p>
    <w:p>
      <w:pPr>
        <w:rPr>
          <w:rFonts w:hint="eastAsia"/>
          <w:b w:val="0"/>
          <w:bCs w:val="0"/>
          <w:color w:val="000000" w:themeColor="text1"/>
          <w:sz w:val="24"/>
          <w:szCs w:val="24"/>
          <w:highlight w:val="none"/>
          <w:u w:val="single"/>
          <w:lang w:val="en-US" w:eastAsia="zh-CN"/>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 xml:space="preserve">法定代表人或授权代表人: </w:t>
      </w:r>
      <w:r>
        <w:rPr>
          <w:rFonts w:hint="eastAsia"/>
          <w:b w:val="0"/>
          <w:bCs w:val="0"/>
          <w:color w:val="000000" w:themeColor="text1"/>
          <w:sz w:val="24"/>
          <w:szCs w:val="24"/>
          <w:highlight w:val="none"/>
          <w:u w:val="single"/>
          <w:lang w:val="en-US" w:eastAsia="zh-CN"/>
          <w14:textFill>
            <w14:solidFill>
              <w14:schemeClr w14:val="tx1"/>
            </w14:solidFill>
          </w14:textFill>
        </w:rPr>
        <w:t xml:space="preserve">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中华人民共和国民法典》等有关法律法规，本着诚实信用、平等互利的原则，甲乙双方经友好协商，就本合同约定区域内的保安服务，甲方与乙方签订本协议，约定由乙方为甲方提供保安服务事宜达成一致意见，特签订本合同。</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 xml:space="preserve">一、服务方式及期限: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(一)服务方式:根据甲方需要，乙方负责向甲方提供保安服务，甲方向乙方支付服务费，甲方与乙方所派驻的保安人员之间不具有法律意义上的劳动关系。</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(二)服务期限:自</w:t>
      </w:r>
      <w:r>
        <w:rPr>
          <w:rFonts w:hint="eastAsia"/>
          <w:color w:val="000000" w:themeColor="text1"/>
          <w:sz w:val="24"/>
          <w:szCs w:val="24"/>
          <w:highlight w:val="none"/>
          <w:u w:val="single"/>
          <w14:textFill>
            <w14:solidFill>
              <w14:schemeClr w14:val="tx1"/>
            </w14:solidFill>
          </w14:textFill>
        </w:rPr>
        <w:t>202</w:t>
      </w:r>
      <w:r>
        <w:rPr>
          <w:rFonts w:hint="eastAsia"/>
          <w:color w:val="000000" w:themeColor="text1"/>
          <w:sz w:val="24"/>
          <w:szCs w:val="24"/>
          <w:highlight w:val="none"/>
          <w:u w:val="single"/>
          <w:lang w:val="en-US" w:eastAsia="zh-CN"/>
          <w14:textFill>
            <w14:solidFill>
              <w14:schemeClr w14:val="tx1"/>
            </w14:solidFill>
          </w14:textFill>
        </w:rPr>
        <w:t>5</w:t>
      </w:r>
      <w:r>
        <w:rPr>
          <w:rFonts w:hint="eastAsia"/>
          <w:color w:val="000000" w:themeColor="text1"/>
          <w:sz w:val="24"/>
          <w:szCs w:val="24"/>
          <w:highlight w:val="none"/>
          <w:u w:val="single"/>
          <w14:textFill>
            <w14:solidFill>
              <w14:schemeClr w14:val="tx1"/>
            </w14:solidFill>
          </w14:textFill>
        </w:rPr>
        <w:t>年</w:t>
      </w:r>
      <w:r>
        <w:rPr>
          <w:rFonts w:hint="eastAsia"/>
          <w:color w:val="000000" w:themeColor="text1"/>
          <w:sz w:val="24"/>
          <w:szCs w:val="24"/>
          <w:highlight w:val="none"/>
          <w:u w:val="single"/>
          <w:lang w:val="en-US" w:eastAsia="zh-CN"/>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月</w:t>
      </w:r>
      <w:r>
        <w:rPr>
          <w:rFonts w:hint="eastAsia"/>
          <w:color w:val="000000" w:themeColor="text1"/>
          <w:sz w:val="24"/>
          <w:szCs w:val="24"/>
          <w:highlight w:val="none"/>
          <w:u w:val="single"/>
          <w:lang w:val="en-US" w:eastAsia="zh-CN"/>
          <w14:textFill>
            <w14:solidFill>
              <w14:schemeClr w14:val="tx1"/>
            </w14:solidFill>
          </w14:textFill>
        </w:rPr>
        <w:t xml:space="preserve"> 日</w:t>
      </w:r>
      <w:r>
        <w:rPr>
          <w:rFonts w:hint="eastAsia"/>
          <w:color w:val="000000" w:themeColor="text1"/>
          <w:sz w:val="24"/>
          <w:szCs w:val="24"/>
          <w:highlight w:val="none"/>
          <w:u w:val="single"/>
          <w14:textFill>
            <w14:solidFill>
              <w14:schemeClr w14:val="tx1"/>
            </w14:solidFill>
          </w14:textFill>
        </w:rPr>
        <w:t>至20</w:t>
      </w:r>
      <w:r>
        <w:rPr>
          <w:rFonts w:hint="eastAsia"/>
          <w:color w:val="000000" w:themeColor="text1"/>
          <w:sz w:val="24"/>
          <w:szCs w:val="24"/>
          <w:highlight w:val="none"/>
          <w:u w:val="single"/>
          <w:lang w:val="en-US" w:eastAsia="zh-CN"/>
          <w14:textFill>
            <w14:solidFill>
              <w14:schemeClr w14:val="tx1"/>
            </w14:solidFill>
          </w14:textFill>
        </w:rPr>
        <w:t>27</w:t>
      </w:r>
      <w:r>
        <w:rPr>
          <w:rFonts w:hint="eastAsia"/>
          <w:color w:val="000000" w:themeColor="text1"/>
          <w:sz w:val="24"/>
          <w:szCs w:val="24"/>
          <w:highlight w:val="none"/>
          <w:u w:val="single"/>
          <w14:textFill>
            <w14:solidFill>
              <w14:schemeClr w14:val="tx1"/>
            </w14:solidFill>
          </w14:textFill>
        </w:rPr>
        <w:t>年</w:t>
      </w:r>
      <w:r>
        <w:rPr>
          <w:rFonts w:hint="eastAsia"/>
          <w:color w:val="000000" w:themeColor="text1"/>
          <w:sz w:val="24"/>
          <w:szCs w:val="24"/>
          <w:highlight w:val="none"/>
          <w:u w:val="single"/>
          <w:lang w:val="en-US" w:eastAsia="zh-CN"/>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月</w:t>
      </w:r>
      <w:r>
        <w:rPr>
          <w:rFonts w:hint="eastAsia"/>
          <w:color w:val="000000" w:themeColor="text1"/>
          <w:sz w:val="24"/>
          <w:szCs w:val="24"/>
          <w:highlight w:val="none"/>
          <w:u w:val="single"/>
          <w:lang w:val="en-US" w:eastAsia="zh-CN"/>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日</w:t>
      </w:r>
      <w:r>
        <w:rPr>
          <w:rFonts w:hint="eastAsia"/>
          <w:color w:val="000000" w:themeColor="text1"/>
          <w:sz w:val="24"/>
          <w:szCs w:val="24"/>
          <w:highlight w:val="none"/>
          <w14:textFill>
            <w14:solidFill>
              <w14:schemeClr w14:val="tx1"/>
            </w14:solidFill>
          </w14:textFill>
        </w:rPr>
        <w:t>。合同期满如需续约，续约一方应提前30日向对方提出，双方协商可</w:t>
      </w:r>
      <w:r>
        <w:rPr>
          <w:rFonts w:hint="eastAsia"/>
          <w:color w:val="000000" w:themeColor="text1"/>
          <w:sz w:val="24"/>
          <w:szCs w:val="24"/>
          <w:highlight w:val="none"/>
          <w:lang w:eastAsia="zh-CN"/>
          <w14:textFill>
            <w14:solidFill>
              <w14:schemeClr w14:val="tx1"/>
            </w14:solidFill>
          </w14:textFill>
        </w:rPr>
        <w:t>另行</w:t>
      </w:r>
      <w:r>
        <w:rPr>
          <w:rFonts w:hint="eastAsia"/>
          <w:color w:val="000000" w:themeColor="text1"/>
          <w:sz w:val="24"/>
          <w:szCs w:val="24"/>
          <w:highlight w:val="none"/>
          <w14:textFill>
            <w14:solidFill>
              <w14:schemeClr w14:val="tx1"/>
            </w14:solidFill>
          </w14:textFill>
        </w:rPr>
        <w:t>续签合同。</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二、委托服务内容</w:t>
      </w:r>
    </w:p>
    <w:p>
      <w:pPr>
        <w:ind w:firstLine="480" w:firstLineChars="200"/>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(一)服务方式</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Xxx</w:t>
      </w:r>
      <w:r>
        <w:rPr>
          <w:rFonts w:hint="eastAsia"/>
          <w:color w:val="000000" w:themeColor="text1"/>
          <w:sz w:val="24"/>
          <w:szCs w:val="24"/>
          <w:highlight w:val="none"/>
          <w14:textFill>
            <w14:solidFill>
              <w14:schemeClr w14:val="tx1"/>
            </w14:solidFill>
          </w14:textFill>
        </w:rPr>
        <w:t>保安服务有限公司提供包括但不限于门卫、巡逻、守护等</w:t>
      </w:r>
      <w:r>
        <w:rPr>
          <w:rFonts w:hint="eastAsia"/>
          <w:color w:val="000000" w:themeColor="text1"/>
          <w:sz w:val="24"/>
          <w:szCs w:val="24"/>
          <w:highlight w:val="none"/>
          <w:lang w:val="en-US" w:eastAsia="zh-CN"/>
          <w14:textFill>
            <w14:solidFill>
              <w14:schemeClr w14:val="tx1"/>
            </w14:solidFill>
          </w14:textFill>
        </w:rPr>
        <w:t>满足甲方需求的</w:t>
      </w:r>
      <w:r>
        <w:rPr>
          <w:rFonts w:hint="eastAsia"/>
          <w:color w:val="000000" w:themeColor="text1"/>
          <w:sz w:val="24"/>
          <w:szCs w:val="24"/>
          <w:highlight w:val="none"/>
          <w14:textFill>
            <w14:solidFill>
              <w14:schemeClr w14:val="tx1"/>
            </w14:solidFill>
          </w14:textFill>
        </w:rPr>
        <w:t>安保服务。</w:t>
      </w:r>
    </w:p>
    <w:p>
      <w:pPr>
        <w:ind w:firstLine="480" w:firstLineChars="200"/>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(二)服务内容</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包括但不限于本项目符合甲方要求的巡逻和消防及安全监控，维护本小区的秩序，保障本项目内所有财产及人身的安全。若因乙方保安人员未正常履职或故意行为造成甲方损失的，乙方需承担相应的赔偿责任。</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1、本项目所有岗位物品及甲方移交之物品，乙方负有保管义务，移交的物品有遗失或损坏，乙方应承担相应的责任及赔偿。</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 xml:space="preserve">2、本项目区域的治安管理:本小区之公共区域、停车场、所有楼层、消防通道、安全监控，维护本小区范围内秩序、负责服务区域财产安全、物品出入管理；熟练应用消防系统、视频监控系统、车辆刷卡管理系统、门禁及可视对讲系统及巡更系统等设备设施。)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3、消防管理:熟悉消防设备设施、掌握各种消防器材使用方法、做好每月消防月检查记录，并做好书面纸字登记，按月交甲方存档。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4、车辆管理:熟练掌握本项目车辆进出操作流程，疏导及指引车辆，以保障本小区车辆进出及停放有序，协助物业服务中心收取停车费并做好纸字登记。</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5、人员出入管理(住户、外来访客及装修、施工人员、工作人员出入管理) 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6、物品管理(大件物品进出登记、检查、核对、汇报)，禁止危险品进入本小区，并做好书面登记，按月交甲方存档。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7、装修管理:装修人员、车辆、物品进出检查登记，装修巡查、违章装修的监管，并做好书面登记，按月交甲方存档。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8、钥匙管理:严格对大门、管理用房及甲方移交之所有钥匙(含进出门禁卡)的管理，并做好书面登记，按月交甲方存档。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9、做好本项目的巡逻、检查工作及各类安全隐患的预防性管控，并做好书面登记，按月交甲方存档。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10、紧急事件处理(现场控制、急救、通知相关部门及采取措施防止事态扩大等)，并做好书面登记，按月交甲方存档。</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11、甲方要求配合的其它与工作相关的合法事宜。</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 xml:space="preserve">三、甲方权利与义务: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(一)甲方按照国家的法律法规以及本单位的有关管理制度，对乙方提出保安服务要求。</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(二)甲方有权要求将不能达到甲方工作标准的保安人员退回乙方，由乙方在3日内补充其他符合甲方任职要求的保安人员到岗。</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(三)甲方有权对乙方所派驻的保安人员进行技能培训(包括管理规章制度、消防、安全、自然灾害、破坏防范等)，并进行日常劳动纪律监管。</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(四)乙方派驻的保安人员若在工作时间出现辱骂、殴打客户或对客户造成其他伤害及恶劣影响的，由乙方支付其医疗及其它所有费用，甲方有权向乙方追究其经济损失及名誉损失。</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(五)甲方按合同内容为乙方保安人员提供必要的工作条件以及劳作用品。</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(六)甲方因经营发展实际需要，可调整该项目保安岗位编制或工作时间，但甲方须提前15日书面通知乙方，乙方应予服从，相关费用据实核算。</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七)乙方及其工作人员违反合同约定、违反甲方规则制度或乙方人员的原因造成任何第三方财产损失或人生伤害的，乙方应向责任方赔偿由此造成的全部损失，情节严重的甲方有权解除合同，触犯法律的甲方有权追究法律责任。</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(八)涉及费用收取的岗位，乙方应按照甲方要求收取费用，收费必须出具甲方票据，金额与票据相符并每日向甲方交账。如甲方发现乙方工作人员未按照甲方要求收缴费用，甲方按单次扣除乙方服务费200元整。</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(九)本项目严禁乙方工作人员在岗位上睡觉，甲方将不定时不定人监督乙方工作人员岗位情况，如发现睡岗人员单次扣除乙方服务费200元，按次累加，但不超出当月总服务费。</w:t>
      </w:r>
    </w:p>
    <w:p>
      <w:pPr>
        <w:ind w:firstLine="480" w:firstLineChars="200"/>
        <w:rPr>
          <w:rFonts w:hint="eastAsia"/>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 xml:space="preserve">四、乙方权利与义务: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w:t>
      </w:r>
      <w:bookmarkStart w:id="21" w:name="OLE_LINK1"/>
      <w:r>
        <w:rPr>
          <w:rFonts w:hint="eastAsia"/>
          <w:color w:val="000000" w:themeColor="text1"/>
          <w:sz w:val="24"/>
          <w:szCs w:val="24"/>
          <w:highlight w:val="none"/>
          <w14:textFill>
            <w14:solidFill>
              <w14:schemeClr w14:val="tx1"/>
            </w14:solidFill>
          </w14:textFill>
        </w:rPr>
        <w:t>乙方派驻的保安人员</w:t>
      </w:r>
      <w:bookmarkEnd w:id="21"/>
      <w:r>
        <w:rPr>
          <w:rFonts w:hint="eastAsia"/>
          <w:color w:val="000000" w:themeColor="text1"/>
          <w:sz w:val="24"/>
          <w:szCs w:val="24"/>
          <w:highlight w:val="none"/>
          <w:lang w:val="en-US" w:eastAsia="zh-CN"/>
          <w14:textFill>
            <w14:solidFill>
              <w14:schemeClr w14:val="tx1"/>
            </w14:solidFill>
          </w14:textFill>
        </w:rPr>
        <w:t>与乙方成立劳动合同关系，与甲方没有劳动合同关系。</w:t>
      </w:r>
      <w:r>
        <w:rPr>
          <w:rFonts w:hint="eastAsia"/>
          <w:color w:val="000000" w:themeColor="text1"/>
          <w:sz w:val="24"/>
          <w:szCs w:val="24"/>
          <w:highlight w:val="none"/>
          <w14:textFill>
            <w14:solidFill>
              <w14:schemeClr w14:val="tx1"/>
            </w14:solidFill>
          </w14:textFill>
        </w:rPr>
        <w:t>乙方派驻的保安人员受乙方管理和领导，并遵守政府的有关法律法规和甲方有关秩序服务管理的规章制度。乙方根据合同标准及甲方要求开展秩序管理服务工作，并对派驻的保安人员进行管理、教育、培训工作(培训内容应包括但不限于:人员物品出入的控制、车辆及道路的管理、消防、监控、各类报警、应急事件处理、岗位职责、体能、职业安全及基本急救技巧、物业管理等相关法律常识、投诉处理技巧、施工人员管理规定、客户服务、礼仪及服务意识等。每周不得少于一次)；甲方负责检查和业务指导。</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(二)乙方须定期组织保安人员进行项目消防、紧急突发事件培训及演习等。</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(三)如遇节假日、重要活动/贵宾来访、应急事件等，乙方应积极配合甲方做好相关工作及准备。</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(四)甲方或其代表有权在日常、夜间或假期内，监督乙方对项目提供的保安服务。若有特别需要(如大型活动、应急事件等)，甲方需提前与乙方协调落实特别需要的保安服务事宜。</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(五)乙方在履行本合同过程中的人身、财产安全由乙方自行负责，乙方安保人员在工作期间出现安全问题造成人身、财产损失、劳动纠纷等与甲方无关，乙方有妥善处理的义务。</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(六)乙方需提供进行工作所需的设备，如对讲机、胶警棍、手套、雨衣、电筒。</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(七)乙方不得将本合同约定的保安服务全部或部分分包给其它单位。</w:t>
      </w:r>
    </w:p>
    <w:p>
      <w:pPr>
        <w:ind w:left="0" w:leftChars="0" w:right="105" w:firstLine="240" w:firstLineChars="100"/>
        <w:jc w:val="both"/>
        <w:outlineLvl w:val="0"/>
        <w:rPr>
          <w:rFonts w:hint="default" w:asciiTheme="majorEastAsia" w:hAnsiTheme="majorEastAsia" w:eastAsiaTheme="majorEastAsia" w:cstheme="majorEastAsia"/>
          <w:b/>
          <w:bCs/>
          <w:color w:val="000000" w:themeColor="text1"/>
          <w:sz w:val="24"/>
          <w:szCs w:val="24"/>
          <w:highlight w:val="none"/>
          <w:lang w:val="en-US" w:eastAsia="zh-CN"/>
          <w14:textFill>
            <w14:solidFill>
              <w14:schemeClr w14:val="tx1"/>
            </w14:solidFill>
          </w14:textFill>
        </w:rPr>
      </w:pPr>
      <w:r>
        <w:rPr>
          <w:rFonts w:hint="eastAsia" w:asciiTheme="majorEastAsia" w:hAnsiTheme="majorEastAsia" w:eastAsiaTheme="majorEastAsia" w:cstheme="majorEastAsia"/>
          <w:b/>
          <w:bCs/>
          <w:color w:val="000000" w:themeColor="text1"/>
          <w:sz w:val="24"/>
          <w:szCs w:val="24"/>
          <w:highlight w:val="none"/>
          <w:lang w:val="en-US" w:eastAsia="zh-CN"/>
          <w14:textFill>
            <w14:solidFill>
              <w14:schemeClr w14:val="tx1"/>
            </w14:solidFill>
          </w14:textFill>
        </w:rPr>
        <w:t>（八）乙方派驻到甲方公司相关项目的保安，如与甲方自有人员混编，则最低月工资不得低于3150元/月.人。</w:t>
      </w:r>
    </w:p>
    <w:p>
      <w:pPr>
        <w:rPr>
          <w:rFonts w:hint="eastAsia"/>
          <w:b/>
          <w:bCs/>
          <w:color w:val="000000" w:themeColor="text1"/>
          <w:sz w:val="24"/>
          <w:szCs w:val="24"/>
          <w:highlight w:val="none"/>
          <w14:textFill>
            <w14:solidFill>
              <w14:schemeClr w14:val="tx1"/>
            </w14:solidFill>
          </w14:textFill>
        </w:rPr>
      </w:pP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五、即时考核</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甲乙双方约定按照以下方式考核及承担违约责任:</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(1)被客户投诉属实的(按每次200元支付违约金)；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(2)在公共区域与同事吵架、打架造成不良影响者(按每次每人500元支付违约金)；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(3)酒后上岗(按每人每次100元支付违约金)；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(4)聚岗、串岗、擅自脱岗(按每人每次100元支付违约金)；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 迟到早退15分钟，(按每人每次50元支付违约金)；迟到早退16-30分钟(按每人每次70元支付违约金)；迟到早退31-60分钟(按每人每次100元支付违约金)；擅自离开工作岗位(按每人每次50元支付违约金)；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(6)着装规范整洁，仪表自然大方，在执勤时，坐、站岗时姿态端正，不能做不雅动作(按每人每次50元支付违约金)；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(7)在岗期间不抽烟，不玩手机，不做与工作无关的事情(按每人每次100元支付违约金)；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(8)保安人员不按时在签到点签到，无故提前或推迟的(按每人每次100元支付违约金)；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(9)交接班时装备、物品及事项必须清楚明细(违者每次按50元支付违约金)；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(10) 监守自盗者一旦发现乙方应立即开除，由乙方赔偿损失，并移交公安机关(按每人每次1000元支付违约金)；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 xml:space="preserve">(11) 不服从甲方负责人及管理人员工作安排的(按每人每次200元支付违约金) </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(12)偷盗、治安、消防等突发事件处理不及时或不恰当(按每次500元支付违约金)；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(13) 《秩序维护服务检查记录表》中的不合格项整改不合格的，(每条每次100 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(14) 违反本合同条款，已影响到甲方工作开展的(每条每次100元支付违约金)；</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(15) 针对上述考核事项，甲方开具出《服务供方不合格通知单》，所有违约金直接在当月服务费中累加后扣除；</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(16)其它因违反合同服务标准及内容，开具的《服务供方不合格通知单》(每次50-1000元)，所有违约金直接在当月服务费中累加后扣除；</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六、保安服务标准</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(一)工作服务时间</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乙方提供服务时间为合同期间每日24小时，根据法律规定乙方自行安排工作时间及休息时间。</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(二)岗位配置及要求</w:t>
      </w:r>
    </w:p>
    <w:p>
      <w:pPr>
        <w:ind w:left="904" w:leftChars="266" w:firstLine="0" w:firstLineChars="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1、岗位配置:本合同项目安保岗位共计</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个，其中:</w:t>
      </w:r>
      <w:r>
        <w:rPr>
          <w:rFonts w:hint="eastAsia"/>
          <w:color w:val="000000" w:themeColor="text1"/>
          <w:sz w:val="24"/>
          <w:szCs w:val="24"/>
          <w:highlight w:val="none"/>
          <w:lang w:eastAsia="zh-CN"/>
          <w14:textFill>
            <w14:solidFill>
              <w14:schemeClr w14:val="tx1"/>
            </w14:solidFill>
          </w14:textFill>
        </w:rPr>
        <w:t>礼仪</w:t>
      </w:r>
      <w:r>
        <w:rPr>
          <w:rFonts w:hint="eastAsia"/>
          <w:color w:val="000000" w:themeColor="text1"/>
          <w:sz w:val="24"/>
          <w:szCs w:val="24"/>
          <w:highlight w:val="none"/>
          <w14:textFill>
            <w14:solidFill>
              <w14:schemeClr w14:val="tx1"/>
            </w14:solidFill>
          </w14:textFill>
        </w:rPr>
        <w:t>岗</w:t>
      </w:r>
      <w:r>
        <w:rPr>
          <w:rFonts w:hint="eastAsia"/>
          <w:color w:val="000000" w:themeColor="text1"/>
          <w:sz w:val="24"/>
          <w:szCs w:val="24"/>
          <w:highlight w:val="none"/>
          <w:lang w:eastAsia="zh-CN"/>
          <w14:textFill>
            <w14:solidFill>
              <w14:schemeClr w14:val="tx1"/>
            </w14:solidFill>
          </w14:textFill>
        </w:rPr>
        <w:t>（大门）</w:t>
      </w:r>
      <w:r>
        <w:rPr>
          <w:rFonts w:hint="eastAsia"/>
          <w:color w:val="000000" w:themeColor="text1"/>
          <w:sz w:val="24"/>
          <w:szCs w:val="24"/>
          <w:highlight w:val="none"/>
          <w14:textFill>
            <w14:solidFill>
              <w14:schemeClr w14:val="tx1"/>
            </w14:solidFill>
          </w14:textFill>
        </w:rPr>
        <w:t>个、监控岗</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个、门岗</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个</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巡逻岗 个</w:t>
      </w:r>
      <w:r>
        <w:rPr>
          <w:rFonts w:hint="eastAsia"/>
          <w:color w:val="000000" w:themeColor="text1"/>
          <w:sz w:val="24"/>
          <w:szCs w:val="24"/>
          <w:highlight w:val="none"/>
          <w14:textFill>
            <w14:solidFill>
              <w14:schemeClr w14:val="tx1"/>
            </w14:solidFill>
          </w14:textFill>
        </w:rPr>
        <w:t>。</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2、所有人员入职前需</w:t>
      </w:r>
      <w:r>
        <w:rPr>
          <w:rFonts w:hint="eastAsia"/>
          <w:color w:val="000000" w:themeColor="text1"/>
          <w:sz w:val="24"/>
          <w:szCs w:val="24"/>
          <w:highlight w:val="none"/>
          <w:lang w:val="en-US" w:eastAsia="zh-CN"/>
          <w14:textFill>
            <w14:solidFill>
              <w14:schemeClr w14:val="tx1"/>
            </w14:solidFill>
          </w14:textFill>
        </w:rPr>
        <w:t>由乙方</w:t>
      </w:r>
      <w:r>
        <w:rPr>
          <w:rFonts w:hint="eastAsia"/>
          <w:color w:val="000000" w:themeColor="text1"/>
          <w:sz w:val="24"/>
          <w:szCs w:val="24"/>
          <w:highlight w:val="none"/>
          <w14:textFill>
            <w14:solidFill>
              <w14:schemeClr w14:val="tx1"/>
            </w14:solidFill>
          </w14:textFill>
        </w:rPr>
        <w:t>进行3天岗前培训</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甲方予以配合</w:t>
      </w:r>
      <w:r>
        <w:rPr>
          <w:rFonts w:hint="eastAsia"/>
          <w:color w:val="000000" w:themeColor="text1"/>
          <w:sz w:val="24"/>
          <w:szCs w:val="24"/>
          <w:highlight w:val="none"/>
          <w14:textFill>
            <w14:solidFill>
              <w14:schemeClr w14:val="tx1"/>
            </w14:solidFill>
          </w14:textFill>
        </w:rPr>
        <w:t>。</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3、甲方如对乙方提供之员工不满意，有权要求乙方更换员工。乙方应在收到甲方通知后7个工作日内予以更换。</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4、乙方派驻的所有保安员必须严格遵守项目的各项管理规章制度和政府的有关法律法规，以及相关的行业规范和职业规范。</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5、被甲方更换的人员不得进入甲方其它项目进行安保服务工作。</w:t>
      </w:r>
    </w:p>
    <w:p>
      <w:pPr>
        <w:ind w:firstLine="480" w:firstLineChars="200"/>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七、安保人员的日常管理</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(一)安保人员应遵守甲方服务现场的行为规范、规章制度、劳动纪律和考核标准，服从工作安排，不得做出损害甲方企业形象或不利于双方协议约定的行为。</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(二)乙方全面负责所派遣员工在工作期间、上下班途中出现的交通意外事故，因工致伤、亡、残等事宜，乙方应承担由此产生的一切费用，甲方不承担任何补偿、赔偿及连带责任。</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(三)乙方保安在工作期间出现劳动争议与甲方无关，由乙方依照相关法律法规自行妥善处理。</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八、服务费用及支付方式</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(一)服务标准达成后，</w:t>
      </w:r>
      <w:r>
        <w:rPr>
          <w:rFonts w:hint="eastAsia"/>
          <w:color w:val="000000" w:themeColor="text1"/>
          <w:sz w:val="24"/>
          <w:szCs w:val="24"/>
          <w:highlight w:val="none"/>
          <w:lang w:val="en-US" w:eastAsia="zh-CN"/>
          <w14:textFill>
            <w14:solidFill>
              <w14:schemeClr w14:val="tx1"/>
            </w14:solidFill>
          </w14:textFill>
        </w:rPr>
        <w:t>在每月结束后五日内办理书面结算，</w:t>
      </w:r>
      <w:r>
        <w:rPr>
          <w:rFonts w:hint="eastAsia"/>
          <w:color w:val="000000" w:themeColor="text1"/>
          <w:sz w:val="24"/>
          <w:szCs w:val="24"/>
          <w:highlight w:val="none"/>
          <w14:textFill>
            <w14:solidFill>
              <w14:schemeClr w14:val="tx1"/>
            </w14:solidFill>
          </w14:textFill>
        </w:rPr>
        <w:t>甲方将按如下标准支付乙方安保服务费用:合同总计含税金额为￥</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元/月，(大写:</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w:t>
      </w:r>
      <w:r>
        <w:rPr>
          <w:rFonts w:hint="eastAsia"/>
          <w:color w:val="000000" w:themeColor="text1"/>
          <w:sz w:val="24"/>
          <w:szCs w:val="24"/>
          <w:highlight w:val="none"/>
          <w14:textFill>
            <w14:solidFill>
              <w14:schemeClr w14:val="tx1"/>
            </w14:solidFill>
          </w14:textFill>
        </w:rPr>
        <w:t>，全年合同总价为:</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元(大写:</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)。乙方如出现本合同第五条约定的行为、应向甲方支付该条约定的违约金时，甲方有权从当月服务费用中直接扣除相应费用进行支付。</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根据甲方业务需要，如在合同期内有费用增减，按照双方协商的实际产生费用结算。上述安保服务费用为包干制，包括但不限于以下费用:工资、加班费、社保、奖金等涉及员工的所有费用、公司保险、税费、服务用品和设备。</w:t>
      </w:r>
    </w:p>
    <w:p>
      <w:pPr>
        <w:spacing w:line="400" w:lineRule="exact"/>
        <w:ind w:firstLine="480"/>
        <w:rPr>
          <w:rFonts w:hint="eastAsia" w:ascii="仿宋" w:hAnsi="仿宋" w:eastAsia="仿宋" w:cs="仿宋"/>
          <w:color w:val="000000" w:themeColor="text1"/>
          <w:kern w:val="2"/>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r>
        <w:rPr>
          <w:rFonts w:hint="eastAsia" w:ascii="黑体" w:hAnsi="黑体" w:eastAsia="黑体" w:cs="黑体"/>
          <w:color w:val="000000" w:themeColor="text1"/>
          <w:sz w:val="24"/>
          <w:szCs w:val="24"/>
          <w:highlight w:val="none"/>
          <w14:textFill>
            <w14:solidFill>
              <w14:schemeClr w14:val="tx1"/>
            </w14:solidFill>
          </w14:textFill>
        </w:rPr>
        <w:t>二)</w:t>
      </w:r>
      <w:r>
        <w:rPr>
          <w:rFonts w:hint="eastAsia" w:ascii="黑体" w:hAnsi="黑体" w:eastAsia="黑体" w:cs="黑体"/>
          <w:color w:val="000000" w:themeColor="text1"/>
          <w:kern w:val="2"/>
          <w:sz w:val="24"/>
          <w:szCs w:val="24"/>
          <w:highlight w:val="none"/>
          <w14:textFill>
            <w14:solidFill>
              <w14:schemeClr w14:val="tx1"/>
            </w14:solidFill>
          </w14:textFill>
        </w:rPr>
        <w:t>支付方式：</w:t>
      </w:r>
      <w:r>
        <w:rPr>
          <w:rFonts w:hint="eastAsia" w:ascii="黑体" w:hAnsi="黑体" w:eastAsia="黑体" w:cs="黑体"/>
          <w:color w:val="000000" w:themeColor="text1"/>
          <w:kern w:val="2"/>
          <w:sz w:val="24"/>
          <w:szCs w:val="24"/>
          <w:highlight w:val="none"/>
          <w:lang w:eastAsia="zh-CN"/>
          <w14:textFill>
            <w14:solidFill>
              <w14:schemeClr w14:val="tx1"/>
            </w14:solidFill>
          </w14:textFill>
        </w:rPr>
        <w:t>按中标供应商投标响应执行</w:t>
      </w:r>
      <w:r>
        <w:rPr>
          <w:rFonts w:hint="eastAsia" w:ascii="黑体" w:hAnsi="黑体" w:eastAsia="黑体" w:cs="黑体"/>
          <w:color w:val="000000" w:themeColor="text1"/>
          <w:sz w:val="24"/>
          <w:szCs w:val="24"/>
          <w:highlight w:val="none"/>
          <w:lang w:eastAsia="zh-CN"/>
          <w14:textFill>
            <w14:solidFill>
              <w14:schemeClr w14:val="tx1"/>
            </w14:solidFill>
          </w14:textFill>
        </w:rPr>
        <w:t>。乙方</w:t>
      </w:r>
      <w:r>
        <w:rPr>
          <w:rFonts w:hint="eastAsia" w:ascii="黑体" w:hAnsi="黑体" w:eastAsia="黑体" w:cs="黑体"/>
          <w:color w:val="000000" w:themeColor="text1"/>
          <w:sz w:val="24"/>
          <w:szCs w:val="24"/>
          <w:highlight w:val="none"/>
          <w:lang w:val="en-US" w:eastAsia="zh-CN"/>
          <w14:textFill>
            <w14:solidFill>
              <w14:schemeClr w14:val="tx1"/>
            </w14:solidFill>
          </w14:textFill>
        </w:rPr>
        <w:t>每个月必须按时发放派遣员工工资，如遇工资发放不及时引起员工消极怠工或投诉到相关部门，甲方有权解除合同，并不承担因此带来的任何法律及经济责任。</w:t>
      </w:r>
    </w:p>
    <w:p>
      <w:pPr>
        <w:ind w:firstLine="480" w:firstLineChars="200"/>
        <w:rPr>
          <w:rFonts w:hint="eastAsia"/>
          <w:color w:val="000000" w:themeColor="text1"/>
          <w:sz w:val="24"/>
          <w:szCs w:val="24"/>
          <w:highlight w:val="none"/>
          <w14:textFill>
            <w14:solidFill>
              <w14:schemeClr w14:val="tx1"/>
            </w14:solidFill>
          </w14:textFill>
        </w:rPr>
      </w:pP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 xml:space="preserve">(三)若甲方的支付方式为银行转账的，应将上述款项转入乙方以下账号: </w:t>
      </w:r>
    </w:p>
    <w:p>
      <w:pPr>
        <w:rPr>
          <w:rFonts w:hint="eastAsia"/>
          <w:color w:val="000000" w:themeColor="text1"/>
          <w:sz w:val="24"/>
          <w:szCs w:val="24"/>
          <w:highlight w:val="none"/>
          <w:u w:val="single"/>
          <w14:textFill>
            <w14:solidFill>
              <w14:schemeClr w14:val="tx1"/>
            </w14:solidFill>
          </w14:textFill>
        </w:rPr>
      </w:pPr>
      <w:r>
        <w:rPr>
          <w:rFonts w:hint="eastAsia"/>
          <w:color w:val="000000" w:themeColor="text1"/>
          <w:sz w:val="24"/>
          <w:szCs w:val="24"/>
          <w:highlight w:val="none"/>
          <w14:textFill>
            <w14:solidFill>
              <w14:schemeClr w14:val="tx1"/>
            </w14:solidFill>
          </w14:textFill>
        </w:rPr>
        <w:t>账户名称:</w:t>
      </w:r>
      <w:r>
        <w:rPr>
          <w:rFonts w:hint="eastAsia"/>
          <w:color w:val="000000" w:themeColor="text1"/>
          <w:sz w:val="24"/>
          <w:szCs w:val="24"/>
          <w:highlight w:val="none"/>
          <w:lang w:val="en-US" w:eastAsia="zh-CN"/>
          <w14:textFill>
            <w14:solidFill>
              <w14:schemeClr w14:val="tx1"/>
            </w14:solidFill>
          </w14:textFill>
        </w:rPr>
        <w:t xml:space="preserve"> </w:t>
      </w:r>
    </w:p>
    <w:p>
      <w:pPr>
        <w:rPr>
          <w:rFonts w:hint="eastAsia"/>
          <w:color w:val="000000" w:themeColor="text1"/>
          <w:sz w:val="24"/>
          <w:szCs w:val="24"/>
          <w:highlight w:val="none"/>
          <w:u w:val="single"/>
          <w14:textFill>
            <w14:solidFill>
              <w14:schemeClr w14:val="tx1"/>
            </w14:solidFill>
          </w14:textFill>
        </w:rPr>
      </w:pPr>
      <w:r>
        <w:rPr>
          <w:rFonts w:hint="eastAsia"/>
          <w:color w:val="000000" w:themeColor="text1"/>
          <w:sz w:val="24"/>
          <w:szCs w:val="24"/>
          <w:highlight w:val="none"/>
          <w14:textFill>
            <w14:solidFill>
              <w14:schemeClr w14:val="tx1"/>
            </w14:solidFill>
          </w14:textFill>
        </w:rPr>
        <w:t>账</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号:</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u w:val="single"/>
          <w:lang w:val="en-US" w:eastAsia="zh-CN"/>
          <w14:textFill>
            <w14:solidFill>
              <w14:schemeClr w14:val="tx1"/>
            </w14:solidFill>
          </w14:textFill>
        </w:rPr>
        <w:t xml:space="preserve">          </w:t>
      </w:r>
      <w:r>
        <w:rPr>
          <w:rFonts w:hint="eastAsia"/>
          <w:color w:val="000000" w:themeColor="text1"/>
          <w:sz w:val="24"/>
          <w:szCs w:val="24"/>
          <w:highlight w:val="none"/>
          <w:u w:val="single"/>
          <w14:textFill>
            <w14:solidFill>
              <w14:schemeClr w14:val="tx1"/>
            </w14:solidFill>
          </w14:textFill>
        </w:rPr>
        <w:t xml:space="preserve"> </w:t>
      </w:r>
    </w:p>
    <w:p>
      <w:pPr>
        <w:rPr>
          <w:rFonts w:hint="default" w:eastAsia="宋体"/>
          <w:color w:val="000000" w:themeColor="text1"/>
          <w:sz w:val="24"/>
          <w:szCs w:val="24"/>
          <w:highlight w:val="none"/>
          <w:u w:val="single"/>
          <w:lang w:val="en-US" w:eastAsia="zh-CN"/>
          <w14:textFill>
            <w14:solidFill>
              <w14:schemeClr w14:val="tx1"/>
            </w14:solidFill>
          </w14:textFill>
        </w:rPr>
      </w:pPr>
      <w:r>
        <w:rPr>
          <w:rFonts w:hint="eastAsia"/>
          <w:color w:val="000000" w:themeColor="text1"/>
          <w:sz w:val="24"/>
          <w:szCs w:val="24"/>
          <w:highlight w:val="none"/>
          <w14:textFill>
            <w14:solidFill>
              <w14:schemeClr w14:val="tx1"/>
            </w14:solidFill>
          </w14:textFill>
        </w:rPr>
        <w:t>开</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户</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行:</w:t>
      </w:r>
      <w:r>
        <w:rPr>
          <w:rFonts w:hint="eastAsia"/>
          <w:color w:val="000000" w:themeColor="text1"/>
          <w:sz w:val="24"/>
          <w:szCs w:val="24"/>
          <w:highlight w:val="none"/>
          <w:u w:val="single"/>
          <w:lang w:val="en-US" w:eastAsia="zh-CN"/>
          <w14:textFill>
            <w14:solidFill>
              <w14:schemeClr w14:val="tx1"/>
            </w14:solidFill>
          </w14:textFill>
        </w:rPr>
        <w:t xml:space="preserve">    </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(五)甲方在向乙方支付本合同约定保安服务费用前，均应收到乙方提供的合法完税发票，若乙方不向甲方提供相应之合法完税发票，甲方有权迟延付款，并不承担由此产生的迟延付款之责任。</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(六)本合同一切有关的税项由乙方自行负责，且按国家、地方的有关法律、法规、政策执行。</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(七)保安人员岗位设置及物品配备，在确保完成”保安服务"项目内容时，由乙方视情况配备。</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(八)除本条款所述费用外，甲方不再另外向乙方支付其它任何费用。甲方付款前，乙方应向甲方确认乙方帐户信息。乙方如需改变其帐户信息，应提前15 日以书面形式通知甲方。乙方未按本合同约定通知或确认信息而使甲乙双方遭受的损失，由乙方承担。</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14:textFill>
            <w14:solidFill>
              <w14:schemeClr w14:val="tx1"/>
            </w14:solidFill>
          </w14:textFill>
        </w:rPr>
        <w:t>八、违约责任</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1、甲方未按照约定支付服务费用，需向乙方承担</w:t>
      </w:r>
      <w:r>
        <w:rPr>
          <w:rFonts w:hint="eastAsia"/>
          <w:color w:val="000000" w:themeColor="text1"/>
          <w:sz w:val="24"/>
          <w:szCs w:val="24"/>
          <w:highlight w:val="none"/>
          <w:lang w:val="en-US" w:eastAsia="zh-CN"/>
          <w14:textFill>
            <w14:solidFill>
              <w14:schemeClr w14:val="tx1"/>
            </w14:solidFill>
          </w14:textFill>
        </w:rPr>
        <w:t>同期一年期LPR利率标准计算的</w:t>
      </w:r>
      <w:r>
        <w:rPr>
          <w:rFonts w:hint="eastAsia"/>
          <w:color w:val="000000" w:themeColor="text1"/>
          <w:sz w:val="24"/>
          <w:szCs w:val="24"/>
          <w:highlight w:val="none"/>
          <w14:textFill>
            <w14:solidFill>
              <w14:schemeClr w14:val="tx1"/>
            </w14:solidFill>
          </w14:textFill>
        </w:rPr>
        <w:t>逾期付款违约责任。</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2、乙方未按照合同约定提供服务的，甲方有权</w:t>
      </w:r>
      <w:r>
        <w:rPr>
          <w:rFonts w:hint="eastAsia"/>
          <w:color w:val="000000" w:themeColor="text1"/>
          <w:sz w:val="24"/>
          <w:szCs w:val="24"/>
          <w:highlight w:val="none"/>
          <w:lang w:val="en-US" w:eastAsia="zh-CN"/>
          <w14:textFill>
            <w14:solidFill>
              <w14:schemeClr w14:val="tx1"/>
            </w14:solidFill>
          </w14:textFill>
        </w:rPr>
        <w:t>按照本合同约定责令乙方支付违约金；若乙方单方解除本合同或者给甲方造成重大损失（损失金额达到5万元以上）的，则</w:t>
      </w:r>
      <w:r>
        <w:rPr>
          <w:rFonts w:hint="eastAsia"/>
          <w:color w:val="000000" w:themeColor="text1"/>
          <w:sz w:val="24"/>
          <w:szCs w:val="24"/>
          <w:highlight w:val="none"/>
          <w14:textFill>
            <w14:solidFill>
              <w14:schemeClr w14:val="tx1"/>
            </w14:solidFill>
          </w14:textFill>
        </w:rPr>
        <w:t>乙方承担</w:t>
      </w:r>
      <w:r>
        <w:rPr>
          <w:rFonts w:hint="eastAsia"/>
          <w:color w:val="000000" w:themeColor="text1"/>
          <w:sz w:val="24"/>
          <w:szCs w:val="24"/>
          <w:highlight w:val="none"/>
          <w:lang w:val="en-US" w:eastAsia="zh-CN"/>
          <w14:textFill>
            <w14:solidFill>
              <w14:schemeClr w14:val="tx1"/>
            </w14:solidFill>
          </w14:textFill>
        </w:rPr>
        <w:t>本</w:t>
      </w:r>
      <w:r>
        <w:rPr>
          <w:rFonts w:hint="eastAsia"/>
          <w:color w:val="000000" w:themeColor="text1"/>
          <w:sz w:val="24"/>
          <w:szCs w:val="24"/>
          <w:highlight w:val="none"/>
          <w14:textFill>
            <w14:solidFill>
              <w14:schemeClr w14:val="tx1"/>
            </w14:solidFill>
          </w14:textFill>
        </w:rPr>
        <w:t>合同总金额20%的违约责任；</w:t>
      </w:r>
      <w:r>
        <w:rPr>
          <w:rFonts w:hint="eastAsia"/>
          <w:color w:val="000000" w:themeColor="text1"/>
          <w:sz w:val="24"/>
          <w:szCs w:val="24"/>
          <w:highlight w:val="none"/>
          <w:lang w:val="en-US" w:eastAsia="zh-CN"/>
          <w14:textFill>
            <w14:solidFill>
              <w14:schemeClr w14:val="tx1"/>
            </w14:solidFill>
          </w14:textFill>
        </w:rPr>
        <w:t>在乙方未按照本合同约定提供服务，或者乙方违法用工，或者乙方不依法发放派遣人员劳动报酬和缴纳国家强制性保险的，若经</w:t>
      </w:r>
      <w:r>
        <w:rPr>
          <w:rFonts w:hint="eastAsia"/>
          <w:color w:val="000000" w:themeColor="text1"/>
          <w:sz w:val="24"/>
          <w:szCs w:val="24"/>
          <w:highlight w:val="none"/>
          <w14:textFill>
            <w14:solidFill>
              <w14:schemeClr w14:val="tx1"/>
            </w14:solidFill>
          </w14:textFill>
        </w:rPr>
        <w:t>甲方要求</w:t>
      </w:r>
      <w:r>
        <w:rPr>
          <w:rFonts w:hint="eastAsia"/>
          <w:color w:val="000000" w:themeColor="text1"/>
          <w:sz w:val="24"/>
          <w:szCs w:val="24"/>
          <w:highlight w:val="none"/>
          <w:lang w:val="en-US" w:eastAsia="zh-CN"/>
          <w14:textFill>
            <w14:solidFill>
              <w14:schemeClr w14:val="tx1"/>
            </w14:solidFill>
          </w14:textFill>
        </w:rPr>
        <w:t>乙方整改</w:t>
      </w:r>
      <w:r>
        <w:rPr>
          <w:rFonts w:hint="eastAsia"/>
          <w:color w:val="000000" w:themeColor="text1"/>
          <w:sz w:val="24"/>
          <w:szCs w:val="24"/>
          <w:highlight w:val="none"/>
          <w14:textFill>
            <w14:solidFill>
              <w14:schemeClr w14:val="tx1"/>
            </w14:solidFill>
          </w14:textFill>
        </w:rPr>
        <w:t>，若乙方未整改或整改仍不符合要求，甲方有权</w:t>
      </w:r>
      <w:r>
        <w:rPr>
          <w:rFonts w:hint="eastAsia"/>
          <w:color w:val="000000" w:themeColor="text1"/>
          <w:sz w:val="24"/>
          <w:szCs w:val="24"/>
          <w:highlight w:val="none"/>
          <w:lang w:val="en-US" w:eastAsia="zh-CN"/>
          <w14:textFill>
            <w14:solidFill>
              <w14:schemeClr w14:val="tx1"/>
            </w14:solidFill>
          </w14:textFill>
        </w:rPr>
        <w:t>单方</w:t>
      </w:r>
      <w:r>
        <w:rPr>
          <w:rFonts w:hint="eastAsia"/>
          <w:color w:val="000000" w:themeColor="text1"/>
          <w:sz w:val="24"/>
          <w:szCs w:val="24"/>
          <w:highlight w:val="none"/>
          <w14:textFill>
            <w14:solidFill>
              <w14:schemeClr w14:val="tx1"/>
            </w14:solidFill>
          </w14:textFill>
        </w:rPr>
        <w:t>解除</w:t>
      </w:r>
      <w:r>
        <w:rPr>
          <w:rFonts w:hint="eastAsia"/>
          <w:color w:val="000000" w:themeColor="text1"/>
          <w:sz w:val="24"/>
          <w:szCs w:val="24"/>
          <w:highlight w:val="none"/>
          <w:lang w:val="en-US" w:eastAsia="zh-CN"/>
          <w14:textFill>
            <w14:solidFill>
              <w14:schemeClr w14:val="tx1"/>
            </w14:solidFill>
          </w14:textFill>
        </w:rPr>
        <w:t>本</w:t>
      </w:r>
      <w:r>
        <w:rPr>
          <w:rFonts w:hint="eastAsia"/>
          <w:color w:val="000000" w:themeColor="text1"/>
          <w:sz w:val="24"/>
          <w:szCs w:val="24"/>
          <w:highlight w:val="none"/>
          <w14:textFill>
            <w14:solidFill>
              <w14:schemeClr w14:val="tx1"/>
            </w14:solidFill>
          </w14:textFill>
        </w:rPr>
        <w:t>合同</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14:textFill>
            <w14:solidFill>
              <w14:schemeClr w14:val="tx1"/>
            </w14:solidFill>
          </w14:textFill>
        </w:rPr>
        <w:t>并要求乙方承担</w:t>
      </w:r>
      <w:r>
        <w:rPr>
          <w:rFonts w:hint="eastAsia"/>
          <w:color w:val="000000" w:themeColor="text1"/>
          <w:sz w:val="24"/>
          <w:szCs w:val="24"/>
          <w:highlight w:val="none"/>
          <w:lang w:val="en-US" w:eastAsia="zh-CN"/>
          <w14:textFill>
            <w14:solidFill>
              <w14:schemeClr w14:val="tx1"/>
            </w14:solidFill>
          </w14:textFill>
        </w:rPr>
        <w:t>本</w:t>
      </w:r>
      <w:r>
        <w:rPr>
          <w:rFonts w:hint="eastAsia"/>
          <w:color w:val="000000" w:themeColor="text1"/>
          <w:sz w:val="24"/>
          <w:szCs w:val="24"/>
          <w:highlight w:val="none"/>
          <w14:textFill>
            <w14:solidFill>
              <w14:schemeClr w14:val="tx1"/>
            </w14:solidFill>
          </w14:textFill>
        </w:rPr>
        <w:t>合同总金额30%的违约责任</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甲方不因此承担违约责任</w:t>
      </w:r>
      <w:r>
        <w:rPr>
          <w:rFonts w:hint="eastAsia"/>
          <w:color w:val="000000" w:themeColor="text1"/>
          <w:sz w:val="24"/>
          <w:szCs w:val="24"/>
          <w:highlight w:val="none"/>
          <w14:textFill>
            <w14:solidFill>
              <w14:schemeClr w14:val="tx1"/>
            </w14:solidFill>
          </w14:textFill>
        </w:rPr>
        <w:t>。</w:t>
      </w:r>
    </w:p>
    <w:p>
      <w:pPr>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3、若乙方提供的服务人员违反管理规定，损害甲方权益和名誉，导致甲方受到损害的，甲方有权解除合同并有权要求乙方赔偿损失</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且甲方不因此承担违约责任。</w:t>
      </w:r>
    </w:p>
    <w:p>
      <w:pPr>
        <w:rPr>
          <w:rFonts w:hint="eastAsia"/>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eastAsia="zh-CN"/>
          <w14:textFill>
            <w14:solidFill>
              <w14:schemeClr w14:val="tx1"/>
            </w14:solidFill>
          </w14:textFill>
        </w:rPr>
        <w:t>九</w:t>
      </w:r>
      <w:r>
        <w:rPr>
          <w:rFonts w:hint="eastAsia"/>
          <w:b/>
          <w:bCs/>
          <w:color w:val="000000" w:themeColor="text1"/>
          <w:sz w:val="24"/>
          <w:szCs w:val="24"/>
          <w:highlight w:val="none"/>
          <w14:textFill>
            <w14:solidFill>
              <w14:schemeClr w14:val="tx1"/>
            </w14:solidFill>
          </w14:textFill>
        </w:rPr>
        <w:t>、双方约定的其他事项</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(一)本协议未尽事宜，法律、法规有规定的，按照相关规定办理，无规定</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的由双方协商解决，协商不成时，双方有权向甲方所在地有管辖权的人民法院起诉。经双方协商一致对本协议进行修改、补充达成的补充协议与本协议具有同等效力。</w:t>
      </w:r>
    </w:p>
    <w:p>
      <w:pPr>
        <w:ind w:firstLine="480" w:firstLineChars="200"/>
        <w:rPr>
          <w:rFonts w:hint="eastAsia"/>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本合同一式肆份，甲方持叁份、乙方持壹份，自甲乙双方盖章和法定代表人或授权代表签字之日起生效，具有同等法律效力。</w:t>
      </w:r>
    </w:p>
    <w:p>
      <w:pPr>
        <w:rPr>
          <w:color w:val="000000" w:themeColor="text1"/>
          <w:sz w:val="24"/>
          <w:szCs w:val="24"/>
          <w:highlight w:val="none"/>
          <w14:textFill>
            <w14:solidFill>
              <w14:schemeClr w14:val="tx1"/>
            </w14:solidFill>
          </w14:textFill>
        </w:rPr>
      </w:pPr>
    </w:p>
    <w:p>
      <w:pPr>
        <w:rPr>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甲方</w:t>
      </w:r>
      <w:r>
        <w:rPr>
          <w:rFonts w:hint="eastAsia"/>
          <w:color w:val="000000" w:themeColor="text1"/>
          <w:sz w:val="24"/>
          <w:szCs w:val="24"/>
          <w:highlight w:val="none"/>
          <w:lang w:eastAsia="zh-CN"/>
          <w14:textFill>
            <w14:solidFill>
              <w14:schemeClr w14:val="tx1"/>
            </w14:solidFill>
          </w14:textFill>
        </w:rPr>
        <w:t>（盖章）</w:t>
      </w:r>
      <w:r>
        <w:rPr>
          <w:rFonts w:hint="eastAsia"/>
          <w:color w:val="000000" w:themeColor="text1"/>
          <w:sz w:val="24"/>
          <w:szCs w:val="24"/>
          <w:highlight w:val="none"/>
          <w14:textFill>
            <w14:solidFill>
              <w14:schemeClr w14:val="tx1"/>
            </w14:solidFill>
          </w14:textFill>
        </w:rPr>
        <w:t xml:space="preserve">：           </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14:textFill>
            <w14:solidFill>
              <w14:schemeClr w14:val="tx1"/>
            </w14:solidFill>
          </w14:textFill>
        </w:rPr>
        <w:t xml:space="preserve"> 乙方</w:t>
      </w:r>
      <w:r>
        <w:rPr>
          <w:rFonts w:hint="eastAsia"/>
          <w:color w:val="000000" w:themeColor="text1"/>
          <w:sz w:val="24"/>
          <w:szCs w:val="24"/>
          <w:highlight w:val="none"/>
          <w:lang w:eastAsia="zh-CN"/>
          <w14:textFill>
            <w14:solidFill>
              <w14:schemeClr w14:val="tx1"/>
            </w14:solidFill>
          </w14:textFill>
        </w:rPr>
        <w:t>（盖章）</w:t>
      </w:r>
      <w:r>
        <w:rPr>
          <w:rFonts w:hint="eastAsia"/>
          <w:color w:val="000000" w:themeColor="text1"/>
          <w:sz w:val="24"/>
          <w:szCs w:val="24"/>
          <w:highlight w:val="none"/>
          <w14:textFill>
            <w14:solidFill>
              <w14:schemeClr w14:val="tx1"/>
            </w14:solidFill>
          </w14:textFill>
        </w:rPr>
        <w:t>：</w:t>
      </w:r>
    </w:p>
    <w:p>
      <w:pPr>
        <w:rPr>
          <w:color w:val="000000" w:themeColor="text1"/>
          <w:sz w:val="24"/>
          <w:szCs w:val="24"/>
          <w:highlight w:val="none"/>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法定代表人</w:t>
      </w:r>
      <w:r>
        <w:rPr>
          <w:rFonts w:hint="eastAsia"/>
          <w:color w:val="000000" w:themeColor="text1"/>
          <w:sz w:val="24"/>
          <w:szCs w:val="24"/>
          <w:highlight w:val="none"/>
          <w:lang w:val="en-US" w:eastAsia="zh-CN"/>
          <w14:textFill>
            <w14:solidFill>
              <w14:schemeClr w14:val="tx1"/>
            </w14:solidFill>
          </w14:textFill>
        </w:rPr>
        <w:t>/授权代表：</w:t>
      </w:r>
      <w:r>
        <w:rPr>
          <w:rFonts w:hint="eastAsia"/>
          <w:color w:val="000000" w:themeColor="text1"/>
          <w:sz w:val="24"/>
          <w:szCs w:val="24"/>
          <w:highlight w:val="none"/>
          <w14:textFill>
            <w14:solidFill>
              <w14:schemeClr w14:val="tx1"/>
            </w14:solidFill>
          </w14:textFill>
        </w:rPr>
        <w:t xml:space="preserve">             </w:t>
      </w:r>
      <w:r>
        <w:rPr>
          <w:rFonts w:hint="eastAsia"/>
          <w:color w:val="000000" w:themeColor="text1"/>
          <w:sz w:val="24"/>
          <w:szCs w:val="24"/>
          <w:highlight w:val="none"/>
          <w:lang w:eastAsia="zh-CN"/>
          <w14:textFill>
            <w14:solidFill>
              <w14:schemeClr w14:val="tx1"/>
            </w14:solidFill>
          </w14:textFill>
        </w:rPr>
        <w:t>法定代表人</w:t>
      </w:r>
      <w:r>
        <w:rPr>
          <w:rFonts w:hint="eastAsia"/>
          <w:color w:val="000000" w:themeColor="text1"/>
          <w:sz w:val="24"/>
          <w:szCs w:val="24"/>
          <w:highlight w:val="none"/>
          <w:lang w:val="en-US" w:eastAsia="zh-CN"/>
          <w14:textFill>
            <w14:solidFill>
              <w14:schemeClr w14:val="tx1"/>
            </w14:solidFill>
          </w14:textFill>
        </w:rPr>
        <w:t>/授权代表：</w:t>
      </w:r>
    </w:p>
    <w:p>
      <w:pP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日期：</w:t>
      </w:r>
      <w:r>
        <w:rPr>
          <w:rFonts w:hint="eastAsia"/>
          <w:color w:val="000000" w:themeColor="text1"/>
          <w:sz w:val="24"/>
          <w:szCs w:val="24"/>
          <w:highlight w:val="none"/>
          <w:lang w:val="en-US" w:eastAsia="zh-CN"/>
          <w14:textFill>
            <w14:solidFill>
              <w14:schemeClr w14:val="tx1"/>
            </w14:solidFill>
          </w14:textFill>
        </w:rPr>
        <w:t xml:space="preserve">                            </w:t>
      </w:r>
      <w:r>
        <w:rPr>
          <w:rFonts w:hint="eastAsia"/>
          <w:color w:val="000000" w:themeColor="text1"/>
          <w:sz w:val="24"/>
          <w:szCs w:val="24"/>
          <w:highlight w:val="none"/>
          <w:lang w:eastAsia="zh-CN"/>
          <w14:textFill>
            <w14:solidFill>
              <w14:schemeClr w14:val="tx1"/>
            </w14:solidFill>
          </w14:textFill>
        </w:rPr>
        <w:t>日期：</w:t>
      </w:r>
    </w:p>
    <w:p>
      <w:pPr>
        <w:rPr>
          <w:rFonts w:hint="eastAsia" w:eastAsia="宋体"/>
          <w:color w:val="000000" w:themeColor="text1"/>
          <w:sz w:val="24"/>
          <w:szCs w:val="24"/>
          <w:highlight w:val="none"/>
          <w:lang w:eastAsia="zh-CN"/>
          <w14:textFill>
            <w14:solidFill>
              <w14:schemeClr w14:val="tx1"/>
            </w14:solidFill>
          </w14:textFill>
        </w:rPr>
      </w:pPr>
    </w:p>
    <w:p>
      <w:pPr>
        <w:rPr>
          <w:rFonts w:hint="eastAsia" w:eastAsia="宋体"/>
          <w:color w:val="000000" w:themeColor="text1"/>
          <w:sz w:val="24"/>
          <w:szCs w:val="24"/>
          <w:highlight w:val="none"/>
          <w:lang w:eastAsia="zh-CN"/>
          <w14:textFill>
            <w14:solidFill>
              <w14:schemeClr w14:val="tx1"/>
            </w14:solidFill>
          </w14:textFill>
        </w:rPr>
      </w:pPr>
    </w:p>
    <w:p>
      <w:pPr>
        <w:rPr>
          <w:rFonts w:hint="eastAsia" w:eastAsia="宋体"/>
          <w:color w:val="000000" w:themeColor="text1"/>
          <w:sz w:val="24"/>
          <w:szCs w:val="24"/>
          <w:highlight w:val="none"/>
          <w:lang w:eastAsia="zh-CN"/>
          <w14:textFill>
            <w14:solidFill>
              <w14:schemeClr w14:val="tx1"/>
            </w14:solidFill>
          </w14:textFill>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firstLine="1440" w:firstLineChars="600"/>
        <w:jc w:val="left"/>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四川东辰（集团）股份有限公司合作廉洁协议</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一、商业交易中的行为与操守声明</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平、公正、符合职业操守及道德规范、遵守法律法规是本公司处理一切商业交易的基本原则。以此原则为基础的廉洁、规范合作是我们与所有合作方长期合作的保障。因为本公司始终认为，坚持这一原则将使我们的员工在商业交易中保持良好的职业水准并使本公司持续赢得客户、合作方与社会的尊重，同时也有利于保证本公司与合作方的长期利益。任何违反这一原则的行为，包括但不限于任何形式的贿赂、欺诈、操纵或内部人为控制，无论是合作方还是负责交易处理的本公司员工，都是不被接受的。因此，任一与我司有合作意向或正在合作的合作方也应与我们一道共同遵守这一原则。我司与贵方的合作合同中附有《我司员工与合作方往来行为规范》和《合作方往来行为规范》，对公司员工和合作方的往来规范做出了明确要求，公司员工及合作方应认真阅读并严格遵循，并由我司对《我司员工与合作方往来行为规范》签署盖章，合作方对《合作方往来行为规范》签署盖章，如我司员工存在违反上述规范或原则之行为，合作方有及时报告之权利和义务。我司将不定期对合作方和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工进行往来行为规范调查。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若您（无论您是否与本交易相关）认为本公司的任一（包括但不限于本次）商业交易存在、或可能存在上述问题，请向以下联系方式发送短信或邮件举报，并附上相关的取证联系方式：法务监察电话及邮箱，电话：18009092200邮箱：jiancha@dcjt.cc</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若您对此难以判断或有任何疑问，请按以上预留联系方式进行洽询，我司承诺，将对举报内容予以保密，对相关举报单位、人的隐私予以保护。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公司名称（盖章）：四川东辰（集团）股份有限公司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righ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年   月   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二、合作方往来行为规范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致四川东辰（集团）股份有限公司：</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我公司郑重承诺在与贵公司合作签订的《</w:t>
      </w:r>
      <w:r>
        <w:rPr>
          <w:rFonts w:hint="eastAsia" w:ascii="宋体" w:hAnsi="宋体" w:eastAsia="宋体" w:cs="宋体"/>
          <w:color w:val="000000" w:themeColor="text1"/>
          <w:sz w:val="24"/>
          <w:szCs w:val="24"/>
          <w:highlight w:val="none"/>
          <w:lang w:val="en-US" w:eastAsia="zh-CN"/>
          <w14:textFill>
            <w14:solidFill>
              <w14:schemeClr w14:val="tx1"/>
            </w14:solidFill>
          </w14:textFill>
        </w:rPr>
        <w:t>保安</w:t>
      </w:r>
      <w:r>
        <w:rPr>
          <w:rFonts w:hint="eastAsia" w:ascii="宋体" w:hAnsi="宋体" w:eastAsia="宋体" w:cs="宋体"/>
          <w:color w:val="000000" w:themeColor="text1"/>
          <w:sz w:val="24"/>
          <w:szCs w:val="24"/>
          <w:highlight w:val="none"/>
          <w14:textFill>
            <w14:solidFill>
              <w14:schemeClr w14:val="tx1"/>
            </w14:solidFill>
          </w14:textFill>
        </w:rPr>
        <w:t>服务合同》的期间往来遵循下列规范：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1、不以任何方式影响贵我双方交易的公平、公正；</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2、及时沟通解决交易过程中出现的问题；</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3、不以任何形式向贵公司员工及亲属赠送可能影响业务执行的实物、现金或礼券；（一年内单个合作方累计或单次赠送年内500元以上的视同可能影响业务执行。）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亲属是指：配偶、（继）子女、（继）父母、（继）兄弟姐妹、配偶的父母、子女的配偶、兄弟姐妹的配子女的配偶、兄弟姐妹的配偶、配偶的兄弟姐妹，下同。</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4、不以任何形式向贵公司员工及亲属支付应由其本人承担的任何费用；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5、不以任何形式向贵公司员工及亲属提供不适当的个人利益或便利（如:为其亲属安排工作、办理出境、入学、资产使用等）；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6、不利用参加贵公司员工及其亲属举办的婚丧嫁娶活动输送利益，并赠送超出约定俗成的礼金数额；</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7、一般不安排贵公司员工就餐（工作餐），如必须就餐的，工作餐标准不超100元/人；</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8、除工作餐外，不邀请贵公司员工及亲属参加宴会或其他消费（旅游、娱乐等）活动；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9、不向贵公司员工及亲属提供低于市场价格的商品或服务；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10、不接受贵公司员工个人在合同之外指定的单位采购或工程转包；</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11、不邀请和接受贵公司员工及亲属投资入股本公司及关联公司（包括干股）；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12、如贵公司员工有任何索取和接受利益的行为(包括但不限于第3-11项)以及由于拒绝不当要求受到威胁、刁难和报复，我方将及时通知其上级领导、直至贵公司最高领导；</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13、配合贵公司开展的相关调查活动（包括不限于接受约谈、提供相关资料和信息、如实反映相关活动等）；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14、保证我公司所有相关员工都了解以上要求。</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（合作方在履行该规范时，若存在任何疑问，请向以下联系方式发送短信或邮件举报，并附上相关的取证联系方式：法务监察电话及邮箱，电话：18009092200，邮箱：jiancha@dcjt.cc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我司承诺，我司不以任何形式向贵公司人员提供可能影响业务执行的实物、现金或任何利益；如发现我司人员有任何索取和接受利益的行为以及由于拒绝贵公司人员的不当要求而受到威胁、刁难和报复的，我司将及时通知贵公司，如未能遵守以上规范，我公司愿意接受：</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在发生任何影响贵公司与我公司合作的公开、公平、公正的情形时，接受贵公司、公安或司法部门的立案查处；</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本承诺书在我公司与贵公司合作的协议、合同或其他具有约束力的文件成立时，自动成为该文件的组成部分。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合作方单位名称（公章）：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left"/>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 xml:space="preserve">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  法定代表人或授权代表签名：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after="0" w:line="240" w:lineRule="auto"/>
        <w:ind w:left="0" w:leftChars="0" w:firstLine="0" w:firstLineChars="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 xml:space="preserve">年    月 </w:t>
      </w: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日</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b/>
          <w:bCs/>
          <w:color w:val="000000" w:themeColor="text1"/>
          <w:sz w:val="24"/>
          <w:szCs w:val="24"/>
          <w:highlight w:val="none"/>
          <w14:textFill>
            <w14:solidFill>
              <w14:schemeClr w14:val="tx1"/>
            </w14:solidFill>
          </w14:textFill>
        </w:rPr>
      </w:pPr>
      <w:r>
        <w:rPr>
          <w:rFonts w:hint="eastAsia" w:ascii="宋体" w:hAnsi="宋体" w:eastAsia="宋体" w:cs="宋体"/>
          <w:b/>
          <w:bCs/>
          <w:color w:val="000000" w:themeColor="text1"/>
          <w:sz w:val="24"/>
          <w:szCs w:val="24"/>
          <w:highlight w:val="none"/>
          <w14:textFill>
            <w14:solidFill>
              <w14:schemeClr w14:val="tx1"/>
            </w14:solidFill>
          </w14:textFill>
        </w:rPr>
        <w:t>三、我司员工与合作方往来行为规范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为体现公司价值观，特要求我司员工与合作方合作期间往来时应遵循下列规范：</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1、本着有礼、有节原则与合作方开展往来活动；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2、本着客观、公正原则对合作方进行评价和管理；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3、积极主动沟通解决争议事项，不采取过激、压制手段；</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4、按照统一标准和原则与合作方进行沟通与谈判；</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5、不以任何方式向合作方或不相干他人泄露商业机密（包括不限于透露谈判价格、谈判策略、其他竞争方等）影响交易正常作、办理出境、入学等）；</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11、本人及亲属不得投资入股合作方单位及关联公司（包括 干股）；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12、本人及亲属不得接受合作方提供的低于市场价格的商品或服务；</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13、本人及亲属不得接受合作方代为支付应由自己承担的任何费用；</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14、本人及亲属不得邀请合作方参加婚丧嫁娶活动，并接受礼金；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15、本人及亲属不得在合同外要求合作方进行到指定单位采购；</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16、本人不得与供应商就项目范围增减、工作量变动、计价方式改变等进行私下商谈或者达成默契；</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17、对遵循本规范的合作方，不得威胁、刁难、报复；</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18、积极配合公司开展的与合作方往来相关调查活动（包括不限于接受约谈、提供相关资料和信息、如实反映相关活动等 ）。如违反上述规范，公司将参照相关制度根据影响程度和情节轻重，分别给予行政处罚（包括口头或书面警告、通报批评、降级或降职、无条件解除劳动合同）、经济处罚、职业禁入和法律诉讼，违反法律规定并构成违法犯罪的，公司将移交公安、司法机关处理。</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480" w:firstLineChars="200"/>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14:textFill>
            <w14:solidFill>
              <w14:schemeClr w14:val="tx1"/>
            </w14:solidFill>
          </w14:textFill>
        </w:rPr>
        <w:t>（公司员工在履行该规范时，若存在任何疑问，请向以下联系方式发送短信或邮件举报，并附上相关的取证联系方式：法务监察电话及邮箱，电话：18009092200，邮箱：jiancha@dcjt.cc ）</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公司（公章）：</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jc w:val="center"/>
        <w:textAlignment w:val="auto"/>
        <w:rPr>
          <w:rFonts w:hint="eastAsia" w:ascii="宋体" w:hAnsi="宋体" w:eastAsia="宋体" w:cs="宋体"/>
          <w:color w:val="000000" w:themeColor="text1"/>
          <w:sz w:val="24"/>
          <w:szCs w:val="24"/>
          <w:highlight w:val="none"/>
          <w14:textFill>
            <w14:solidFill>
              <w14:schemeClr w14:val="tx1"/>
            </w14:solidFill>
          </w14:textFill>
        </w:rPr>
      </w:pPr>
      <w:r>
        <w:rPr>
          <w:rFonts w:hint="eastAsia" w:ascii="宋体" w:hAnsi="宋体" w:eastAsia="宋体" w:cs="宋体"/>
          <w:color w:val="000000" w:themeColor="text1"/>
          <w:sz w:val="24"/>
          <w:szCs w:val="24"/>
          <w:highlight w:val="none"/>
          <w:lang w:val="en-US" w:eastAsia="zh-CN"/>
          <w14:textFill>
            <w14:solidFill>
              <w14:schemeClr w14:val="tx1"/>
            </w14:solidFill>
          </w14:textFill>
        </w:rPr>
        <w:t xml:space="preserve">                                     </w:t>
      </w:r>
      <w:r>
        <w:rPr>
          <w:rFonts w:hint="eastAsia" w:ascii="宋体" w:hAnsi="宋体" w:eastAsia="宋体" w:cs="宋体"/>
          <w:color w:val="000000" w:themeColor="text1"/>
          <w:sz w:val="24"/>
          <w:szCs w:val="24"/>
          <w:highlight w:val="none"/>
          <w14:textFill>
            <w14:solidFill>
              <w14:schemeClr w14:val="tx1"/>
            </w14:solidFill>
          </w14:textFill>
        </w:rPr>
        <w:t>法定代表人签名：</w:t>
      </w:r>
    </w:p>
    <w:tbl>
      <w:tblPr>
        <w:tblStyle w:val="31"/>
        <w:tblW w:w="88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937"/>
        <w:gridCol w:w="528"/>
        <w:gridCol w:w="953"/>
        <w:gridCol w:w="5337"/>
        <w:gridCol w:w="11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71" w:hRule="atLeast"/>
        </w:trPr>
        <w:tc>
          <w:tcPr>
            <w:tcW w:w="8860" w:type="dxa"/>
            <w:gridSpan w:val="5"/>
            <w:tcBorders>
              <w:top w:val="nil"/>
              <w:left w:val="nil"/>
              <w:bottom w:val="nil"/>
              <w:right w:val="nil"/>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themeColor="text1"/>
                <w:sz w:val="32"/>
                <w:szCs w:val="32"/>
                <w:highlight w:val="none"/>
                <w:u w:val="none"/>
                <w14:textFill>
                  <w14:solidFill>
                    <w14:schemeClr w14:val="tx1"/>
                  </w14:solidFill>
                </w14:textFill>
              </w:rPr>
            </w:pPr>
            <w:r>
              <w:rPr>
                <w:rFonts w:hint="eastAsia" w:ascii="宋体" w:hAnsi="宋体" w:eastAsia="宋体" w:cs="宋体"/>
                <w:b/>
                <w:bCs/>
                <w:i w:val="0"/>
                <w:iCs w:val="0"/>
                <w:color w:val="000000" w:themeColor="text1"/>
                <w:kern w:val="0"/>
                <w:sz w:val="32"/>
                <w:szCs w:val="32"/>
                <w:highlight w:val="none"/>
                <w:u w:val="none"/>
                <w:lang w:val="en-US" w:eastAsia="zh-CN" w:bidi="ar"/>
                <w14:textFill>
                  <w14:solidFill>
                    <w14:schemeClr w14:val="tx1"/>
                  </w14:solidFill>
                </w14:textFill>
              </w:rPr>
              <w:t>秩序维护岗位考评表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28"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7395" w:type="dxa"/>
            <w:gridSpan w:val="3"/>
            <w:tcBorders>
              <w:top w:val="nil"/>
              <w:left w:val="nil"/>
              <w:bottom w:val="nil"/>
              <w:right w:val="nil"/>
            </w:tcBorders>
            <w:shd w:val="clear" w:color="auto" w:fill="auto"/>
            <w:vAlign w:val="center"/>
          </w:tcPr>
          <w:p>
            <w:pPr>
              <w:jc w:val="left"/>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2" w:hRule="atLeast"/>
        </w:trPr>
        <w:tc>
          <w:tcPr>
            <w:tcW w:w="1465"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项目</w:t>
            </w:r>
          </w:p>
        </w:tc>
        <w:tc>
          <w:tcPr>
            <w:tcW w:w="953"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序号</w:t>
            </w:r>
          </w:p>
        </w:tc>
        <w:tc>
          <w:tcPr>
            <w:tcW w:w="5337" w:type="dxa"/>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标准</w:t>
            </w:r>
          </w:p>
        </w:tc>
        <w:tc>
          <w:tcPr>
            <w:tcW w:w="1105" w:type="dxa"/>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仪   容   仪   表    8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工作时间内统一、规范、完整着装。</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服装整洁、干净、无破损、无明显褶皱、非工作需要不得将衣袖裤管卷起，不允许将衣服搭在肩上</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不染夸张发色不留怪异发型保持干净整齐，女士过肩须束发，男士头发前不过眉，侧不盖耳，后不过领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坚持每日剃须,不染指甲，指甲长度不超过1.5毫米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上班期间不得佩戴除婚戒以外的饰品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值班期间保持良好的精神状态，微笑服务，女士着淡妆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保持身体清洁卫生无异味</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行</w:t>
            </w:r>
            <w:r>
              <w:rPr>
                <w:rFonts w:hint="eastAsia"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为</w:t>
            </w: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规范26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站姿坐姿端正，不得斜躺跷二郎腿，行走时两人成排三人成行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主动、热情、微笑服务</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上门服务时用语、行为规范，进门须穿自带鞋套，出门时人走地净。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严禁公共场合聚众聊天、大声说笑、追逐打闹、勾肩搭背、惊扰他人</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严禁酒后上岗、工作时间严禁吃零食，严禁公共场所及客户面前吸烟，客户接待室禁止就餐。</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严禁随地吐痰、乱丢果皮纸屑</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尊敬领导、团结同事、有团队协作精神、不得造谣滋事、不得谈论他人隐私、不得泄露客户信息</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行走时不与他人抢道通行，主动避让，特殊情况应向他人示意后方可通行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爱国敬业，不得有损害公司声誉形象的言行</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交通工具停放到指定位置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因工作失误或服务表现差，对团体工作造成影响或引起客户投诉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严禁与客户发生争执及肢体冲突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劳   动    纪    律   30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不迟到早退</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工作期间保持通讯畅通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对讲机音量适中，工作期间不得利用对讲机开玩笑、讲脏话、谈论与工作无关的事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擅自调班、调岗、离岗、串岗</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值班时间严禁睡觉（项目另有规定的除外）</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禁止使用手机做与工作无关的事情（如：打游戏、看视频、听音乐等）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集体宿舍保持内务整洁、无明显异味，不得私拉乱接，遵守宿舍管理制度</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按规定时间换班吃饭</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严禁利用职务之便吃、拿、卡、要</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严禁收费时不按规定提供等额票据。</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严禁弄虚作假，谎报瞒报夸大其词</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不服从工作安排，完成任务不达标，不配合同事工作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认真完成领导安排的其他工作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岗    位    职    责   26   分</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按规定要求交接班，物品、问题、注意事项交接清楚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规范、及时、准确填写各种记录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固定值班点整洁，5米范围内干净卫生，严禁乱堆乱放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妥善保管客户委托物品，及时通知客户领取并做好收发记录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做好外来人员、车辆的管控、登记、核实、报告等工作</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3"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按要求巡查管辖区域，重点巡查：单元门关闭、规范停车、飞线充电、违规装修、消防设施设备是否完好，发现问题及时跟踪处理并记录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突发紧急意外情况时，及时处置并如实汇报</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及时向物业服务中心报告客户的各类信息，（如：报事、报修、建议、投诉等），不得推诿搪塞</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物品进出仔细检查核实上报并作好书面记录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保持消防通道畅通（及时清理杂物、制止乱停乱放）</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1465"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商户关门后及时检查门窗是否关闭、完好、有无安全隐患</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岗     位    技    能</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10</w:t>
            </w:r>
          </w:p>
          <w:p>
            <w:pPr>
              <w:keepNext w:val="0"/>
              <w:keepLines w:val="0"/>
              <w:widowControl/>
              <w:suppressLineNumbers w:val="0"/>
              <w:ind w:left="0" w:leftChars="0" w:firstLine="0" w:firstLineChars="0"/>
              <w:jc w:val="both"/>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分</w:t>
            </w: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护卫岗位技能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熟悉掌握本项目物业基本情况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熟悉掌握客户物业详细情况</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熟悉岗位职责和工作流程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熟悉各种应急预案，具备与岗位职责相应的观察、发现、处置问题的能力</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具备使用基本通讯器材、道闸系统、技术防范设施设备和相关防卫器械技能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49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掌握消防系统使用功能</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50</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熟练使用消防器材（水带、灭火器等）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51</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熟知“四懂四会”的基础知识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52</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基本掌握物业服务知识和相关条例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消防控制室岗位技能</w:t>
            </w: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53</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熟悉火灾自动报警系统基础知识，懂火灾报警器的分类、功能、组织及工作原理，报警信息的处理</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5"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54</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能熟练操作消防控制系统（如：火灾报警控制器、联动控制器、图像显示装置、会;自检、消音、复位等）</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55</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真实、及时填写《消防控制室值班记录》和交接班记录</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56</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熟练掌握灭火处理程序</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57</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熟悉岗位职责和工作流程及各种应急预案</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58</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熟练掌握“四懂四会”</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49" w:hRule="atLeast"/>
        </w:trPr>
        <w:tc>
          <w:tcPr>
            <w:tcW w:w="9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59</w:t>
            </w:r>
          </w:p>
        </w:tc>
        <w:tc>
          <w:tcPr>
            <w:tcW w:w="5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基本掌握物业服务知识及相关条例</w:t>
            </w:r>
          </w:p>
        </w:tc>
        <w:tc>
          <w:tcPr>
            <w:tcW w:w="110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r>
              <w:rPr>
                <w:rFonts w:hint="eastAsia" w:ascii="宋体" w:hAnsi="宋体" w:eastAsia="宋体" w:cs="宋体"/>
                <w:i w:val="0"/>
                <w:iCs w:val="0"/>
                <w:color w:val="000000" w:themeColor="text1"/>
                <w:kern w:val="0"/>
                <w:sz w:val="24"/>
                <w:szCs w:val="24"/>
                <w:highlight w:val="none"/>
                <w:u w:val="none"/>
                <w:lang w:val="en-US" w:eastAsia="zh-CN" w:bidi="ar"/>
                <w14:textFill>
                  <w14:solidFill>
                    <w14:schemeClr w14:val="tx1"/>
                  </w14:solidFill>
                </w14:textFill>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7" w:hRule="atLeast"/>
        </w:trPr>
        <w:tc>
          <w:tcPr>
            <w:tcW w:w="937"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28"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953" w:type="dxa"/>
            <w:tcBorders>
              <w:top w:val="nil"/>
              <w:left w:val="nil"/>
              <w:bottom w:val="nil"/>
              <w:right w:val="nil"/>
            </w:tcBorders>
            <w:shd w:val="clear" w:color="auto" w:fill="auto"/>
            <w:noWrap/>
            <w:vAlign w:val="center"/>
          </w:tcPr>
          <w:p>
            <w:pPr>
              <w:jc w:val="cente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5337" w:type="dxa"/>
            <w:tcBorders>
              <w:top w:val="nil"/>
              <w:left w:val="nil"/>
              <w:bottom w:val="nil"/>
              <w:right w:val="nil"/>
            </w:tcBorders>
            <w:shd w:val="clear" w:color="auto" w:fill="auto"/>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c>
          <w:tcPr>
            <w:tcW w:w="1105"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themeColor="text1"/>
                <w:sz w:val="24"/>
                <w:szCs w:val="24"/>
                <w:highlight w:val="none"/>
                <w:u w:val="none"/>
                <w14:textFill>
                  <w14:solidFill>
                    <w14:schemeClr w14:val="tx1"/>
                  </w14:solidFill>
                </w14:textFill>
              </w:rPr>
            </w:pPr>
          </w:p>
        </w:tc>
      </w:tr>
    </w:tbl>
    <w:p>
      <w:pPr>
        <w:spacing w:line="400" w:lineRule="exact"/>
        <w:jc w:val="left"/>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14:textFill>
            <w14:solidFill>
              <w14:schemeClr w14:val="tx1"/>
            </w14:solidFill>
          </w14:textFill>
        </w:rPr>
        <w:t>注</w:t>
      </w:r>
      <w:r>
        <w:rPr>
          <w:rFonts w:hint="eastAsia"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1.</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考核结果实行百分制，拨付保安服务费时，将按照当月保安考核实际得分，扣除相应款项后再予以支付。</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若考核得分在</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9</w:t>
      </w:r>
      <w:r>
        <w:rPr>
          <w:rFonts w:hint="eastAsia" w:hAnsi="宋体" w:eastAsia="宋体" w:cs="宋体"/>
          <w:color w:val="000000" w:themeColor="text1"/>
          <w:sz w:val="24"/>
          <w:szCs w:val="24"/>
          <w:highlight w:val="none"/>
          <w:shd w:val="clear" w:color="auto" w:fill="auto"/>
          <w:lang w:val="en-US" w:eastAsia="zh-CN"/>
          <w14:textFill>
            <w14:solidFill>
              <w14:schemeClr w14:val="tx1"/>
            </w14:solidFill>
          </w14:textFill>
        </w:rPr>
        <w:t>5</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分及以下，则按照相应被扣分值进行扣款（扣款金额=中标单价÷100×被扣分值），并由</w:t>
      </w:r>
      <w:r>
        <w:rPr>
          <w:rFonts w:hint="eastAsia" w:hAnsi="宋体" w:eastAsia="宋体" w:cs="宋体"/>
          <w:color w:val="000000" w:themeColor="text1"/>
          <w:sz w:val="24"/>
          <w:szCs w:val="24"/>
          <w:highlight w:val="none"/>
          <w:shd w:val="clear" w:color="auto" w:fill="auto"/>
          <w:lang w:val="en-US" w:eastAsia="zh-CN"/>
          <w14:textFill>
            <w14:solidFill>
              <w14:schemeClr w14:val="tx1"/>
            </w14:solidFill>
          </w14:textFill>
        </w:rPr>
        <w:t>用人单位项目负责人</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对相应保安人员进行约谈；若扣减分在</w:t>
      </w:r>
      <w:r>
        <w:rPr>
          <w:rFonts w:hint="eastAsia" w:hAnsi="宋体" w:eastAsia="宋体" w:cs="宋体"/>
          <w:color w:val="000000" w:themeColor="text1"/>
          <w:sz w:val="24"/>
          <w:szCs w:val="24"/>
          <w:highlight w:val="none"/>
          <w:shd w:val="clear" w:color="auto" w:fill="auto"/>
          <w:lang w:val="en-US" w:eastAsia="zh-CN"/>
          <w14:textFill>
            <w14:solidFill>
              <w14:schemeClr w14:val="tx1"/>
            </w14:solidFill>
          </w14:textFill>
        </w:rPr>
        <w:t>5</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分及以内，由保安项目负责人对相应的保安人员进行约谈。</w:t>
      </w:r>
    </w:p>
    <w:p>
      <w:pPr>
        <w:spacing w:line="400" w:lineRule="exact"/>
        <w:jc w:val="left"/>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2.按照服务范围、内容及要求，由招标人</w:t>
      </w:r>
      <w:r>
        <w:rPr>
          <w:rFonts w:hint="eastAsia" w:hAnsi="宋体" w:eastAsia="宋体" w:cs="宋体"/>
          <w:color w:val="000000" w:themeColor="text1"/>
          <w:sz w:val="24"/>
          <w:szCs w:val="24"/>
          <w:highlight w:val="none"/>
          <w:shd w:val="clear" w:color="auto" w:fill="auto"/>
          <w:lang w:val="en-US" w:eastAsia="zh-CN"/>
          <w14:textFill>
            <w14:solidFill>
              <w14:schemeClr w14:val="tx1"/>
            </w14:solidFill>
          </w14:textFill>
        </w:rPr>
        <w:t>（用人单位）</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组织对中标单位服务进行督导检查，每月至少1次。发现有以下情形发生，招标人</w:t>
      </w:r>
      <w:r>
        <w:rPr>
          <w:rFonts w:hint="eastAsia" w:hAnsi="宋体" w:eastAsia="宋体" w:cs="宋体"/>
          <w:color w:val="000000" w:themeColor="text1"/>
          <w:sz w:val="24"/>
          <w:szCs w:val="24"/>
          <w:highlight w:val="none"/>
          <w:shd w:val="clear" w:color="auto" w:fill="auto"/>
          <w:lang w:val="en-US" w:eastAsia="zh-CN"/>
          <w14:textFill>
            <w14:solidFill>
              <w14:schemeClr w14:val="tx1"/>
            </w14:solidFill>
          </w14:textFill>
        </w:rPr>
        <w:t>（用人单位）</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可直接在当月服务费予以扣除:</w:t>
      </w:r>
    </w:p>
    <w:p>
      <w:pPr>
        <w:spacing w:line="400" w:lineRule="exact"/>
        <w:jc w:val="left"/>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1）</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中标单位保</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安</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人员不服从相关管理部门的工作指派，扣除中标单位100元/次</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2）</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迎检、特殊情况时，不服从</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招标人</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安排，扣除中标单位200元/次</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p>
    <w:p>
      <w:pPr>
        <w:spacing w:line="400" w:lineRule="exact"/>
        <w:jc w:val="left"/>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pP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3.</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出现</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违法</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行为影响单位声誉</w:t>
      </w:r>
      <w:r>
        <w:rPr>
          <w:rFonts w:hint="eastAsia" w:ascii="宋体" w:hAnsi="宋体" w:eastAsia="宋体" w:cs="宋体"/>
          <w:color w:val="000000" w:themeColor="text1"/>
          <w:sz w:val="24"/>
          <w:szCs w:val="24"/>
          <w:highlight w:val="none"/>
          <w:shd w:val="clear" w:color="auto" w:fill="auto"/>
          <w:lang w:eastAsia="zh-CN"/>
          <w14:textFill>
            <w14:solidFill>
              <w14:schemeClr w14:val="tx1"/>
            </w14:solidFill>
          </w14:textFill>
        </w:rPr>
        <w:t>，</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造成单位损失的，除扣全分外，将按</w:t>
      </w:r>
      <w:r>
        <w:rPr>
          <w:rFonts w:hint="eastAsia" w:ascii="宋体" w:hAnsi="宋体" w:eastAsia="宋体" w:cs="宋体"/>
          <w:color w:val="000000" w:themeColor="text1"/>
          <w:sz w:val="24"/>
          <w:szCs w:val="24"/>
          <w:highlight w:val="none"/>
          <w:shd w:val="clear" w:color="auto" w:fill="auto"/>
          <w:lang w:val="en-US" w:eastAsia="zh-CN"/>
          <w14:textFill>
            <w14:solidFill>
              <w14:schemeClr w14:val="tx1"/>
            </w14:solidFill>
          </w14:textFill>
        </w:rPr>
        <w:t>招标人</w:t>
      </w:r>
      <w:r>
        <w:rPr>
          <w:rFonts w:hint="eastAsia" w:ascii="宋体" w:hAnsi="宋体" w:eastAsia="宋体" w:cs="宋体"/>
          <w:color w:val="000000" w:themeColor="text1"/>
          <w:sz w:val="24"/>
          <w:szCs w:val="24"/>
          <w:highlight w:val="none"/>
          <w:shd w:val="clear" w:color="auto" w:fill="auto"/>
          <w14:textFill>
            <w14:solidFill>
              <w14:schemeClr w14:val="tx1"/>
            </w14:solidFill>
          </w14:textFill>
        </w:rPr>
        <w:t>及保安公司有关规定处理，触犯法律的还将移交司法机关。</w:t>
      </w: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p>
    <w:p>
      <w:pPr>
        <w:pStyle w:val="10"/>
        <w:keepNext w:val="0"/>
        <w:keepLines w:val="0"/>
        <w:pageBreakBefore w:val="0"/>
        <w:widowControl w:val="0"/>
        <w:tabs>
          <w:tab w:val="left" w:pos="2064"/>
          <w:tab w:val="left" w:pos="2902"/>
          <w:tab w:val="left" w:pos="3744"/>
          <w:tab w:val="left" w:pos="6126"/>
          <w:tab w:val="left" w:pos="7522"/>
          <w:tab w:val="left" w:pos="8365"/>
        </w:tabs>
        <w:kinsoku/>
        <w:wordWrap/>
        <w:overflowPunct/>
        <w:topLinePunct w:val="0"/>
        <w:autoSpaceDE w:val="0"/>
        <w:autoSpaceDN w:val="0"/>
        <w:bidi w:val="0"/>
        <w:adjustRightInd/>
        <w:snapToGrid/>
        <w:spacing w:line="360" w:lineRule="auto"/>
        <w:ind w:left="0" w:leftChars="0" w:firstLine="0" w:firstLineChars="0"/>
        <w:textAlignment w:val="auto"/>
        <w:rPr>
          <w:rFonts w:hint="eastAsia" w:ascii="宋体" w:hAnsi="宋体" w:eastAsia="宋体" w:cs="宋体"/>
          <w:color w:val="000000" w:themeColor="text1"/>
          <w:sz w:val="24"/>
          <w:szCs w:val="24"/>
          <w:highlight w:val="none"/>
          <w14:textFill>
            <w14:solidFill>
              <w14:schemeClr w14:val="tx1"/>
            </w14:solidFill>
          </w14:textFill>
        </w:rPr>
      </w:pPr>
    </w:p>
    <w:p>
      <w:pPr>
        <w:pStyle w:val="10"/>
        <w:tabs>
          <w:tab w:val="left" w:pos="2064"/>
          <w:tab w:val="left" w:pos="2902"/>
          <w:tab w:val="left" w:pos="3744"/>
          <w:tab w:val="left" w:pos="6126"/>
          <w:tab w:val="left" w:pos="7522"/>
          <w:tab w:val="left" w:pos="8365"/>
        </w:tabs>
        <w:autoSpaceDE w:val="0"/>
        <w:autoSpaceDN w:val="0"/>
        <w:spacing w:line="360" w:lineRule="auto"/>
        <w:ind w:right="105"/>
        <w:rPr>
          <w:rFonts w:hint="default" w:ascii="仿宋" w:hAnsi="仿宋" w:eastAsia="仿宋" w:cs="仿宋"/>
          <w:color w:val="000000" w:themeColor="text1"/>
          <w:sz w:val="24"/>
          <w:highlight w:val="none"/>
          <w:lang w:val="en-US" w:eastAsia="zh-CN"/>
          <w14:textFill>
            <w14:solidFill>
              <w14:schemeClr w14:val="tx1"/>
            </w14:solidFill>
          </w14:textFill>
        </w:rPr>
      </w:pPr>
    </w:p>
    <w:sectPr>
      <w:headerReference r:id="rId9" w:type="default"/>
      <w:footerReference r:id="rId10" w:type="default"/>
      <w:pgSz w:w="11907" w:h="16840"/>
      <w:pgMar w:top="850" w:right="1208" w:bottom="709" w:left="1519" w:header="765" w:footer="765" w:gutter="0"/>
      <w:cols w:space="0" w:num="1"/>
      <w:rtlGutter w:val="0"/>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9C9D9AB2-52AC-4DD7-91FC-D34F09E7F7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楷体à.ā">
    <w:altName w:val="微软雅黑"/>
    <w:panose1 w:val="00000000000000000000"/>
    <w:charset w:val="86"/>
    <w:family w:val="modern"/>
    <w:pitch w:val="default"/>
    <w:sig w:usb0="00000000" w:usb1="00000000" w:usb2="00000010" w:usb3="00000000" w:csb0="00040000" w:csb1="00000000"/>
  </w:font>
  <w:font w:name="??¨¬?">
    <w:altName w:val="Calibri"/>
    <w:panose1 w:val="00000000000000000000"/>
    <w:charset w:val="00"/>
    <w:family w:val="auto"/>
    <w:pitch w:val="default"/>
    <w:sig w:usb0="00000000" w:usb1="00000000" w:usb2="00000000" w:usb3="00000000" w:csb0="0000009F" w:csb1="00000000"/>
  </w:font>
  <w:font w:name="Helvetica">
    <w:altName w:val="Arial"/>
    <w:panose1 w:val="020B0504020202020204"/>
    <w:charset w:val="00"/>
    <w:family w:val="swiss"/>
    <w:pitch w:val="default"/>
    <w:sig w:usb0="00000000" w:usb1="00000000" w:usb2="00000000" w:usb3="00000000" w:csb0="00000001" w:csb1="00000000"/>
  </w:font>
  <w:font w:name="Arial Unicode MS">
    <w:panose1 w:val="020B0604020202020204"/>
    <w:charset w:val="86"/>
    <w:family w:val="swiss"/>
    <w:pitch w:val="default"/>
    <w:sig w:usb0="FFFFFFFF" w:usb1="E9FFFFFF" w:usb2="0000003F" w:usb3="00000000" w:csb0="603F01FF" w:csb1="FFFF0000"/>
  </w:font>
  <w:font w:name="仿宋">
    <w:panose1 w:val="02010609060101010101"/>
    <w:charset w:val="86"/>
    <w:family w:val="modern"/>
    <w:pitch w:val="default"/>
    <w:sig w:usb0="800002BF" w:usb1="38CF7CFA" w:usb2="00000016" w:usb3="00000000" w:csb0="00040001" w:csb1="00000000"/>
    <w:embedRegular r:id="rId2" w:fontKey="{9DA10C8D-02B6-48DC-B64C-A489BA25879E}"/>
  </w:font>
  <w:font w:name="仿宋_GB2312">
    <w:panose1 w:val="02010609030101010101"/>
    <w:charset w:val="86"/>
    <w:family w:val="modern"/>
    <w:pitch w:val="default"/>
    <w:sig w:usb0="00000001" w:usb1="080E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SimSong Bold">
    <w:altName w:val="Times New Roman"/>
    <w:panose1 w:val="00000000000000000000"/>
    <w:charset w:val="00"/>
    <w:family w:val="roman"/>
    <w:pitch w:val="default"/>
    <w:sig w:usb0="00000000" w:usb1="00000000" w:usb2="00000000" w:usb3="00000000" w:csb0="00040001" w:csb1="00000000"/>
  </w:font>
  <w:font w:name="PingFang SC Regular">
    <w:altName w:val="Times New Roman"/>
    <w:panose1 w:val="00000000000000000000"/>
    <w:charset w:val="00"/>
    <w:family w:val="roman"/>
    <w:pitch w:val="default"/>
    <w:sig w:usb0="00000000" w:usb1="00000000" w:usb2="00000000" w:usb3="00000000" w:csb0="00040001" w:csb1="00000000"/>
  </w:font>
  <w:font w:name="Calibri Light">
    <w:panose1 w:val="020F03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jc w:val="center"/>
    </w:pPr>
    <w:r>
      <w:fldChar w:fldCharType="begin"/>
    </w:r>
    <w:r>
      <w:instrText xml:space="preserve">PAGE   \* MERGEFORMAT</w:instrText>
    </w:r>
    <w:r>
      <w:fldChar w:fldCharType="separate"/>
    </w:r>
    <w:r>
      <w:t>18</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105" w:firstLine="360"/>
      <w:jc w:val="center"/>
    </w:pPr>
    <w:r>
      <w:fldChar w:fldCharType="begin"/>
    </w:r>
    <w:r>
      <w:instrText xml:space="preserve">PAGE   \* MERGEFORMAT</w:instrText>
    </w:r>
    <w:r>
      <w:fldChar w:fldCharType="separate"/>
    </w:r>
    <w:r>
      <w:t>32</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top w:val="none" w:color="auto" w:sz="0" w:space="0"/>
        <w:left w:val="none" w:color="auto" w:sz="0" w:space="0"/>
        <w:bottom w:val="none" w:color="auto" w:sz="0" w:space="1"/>
        <w:right w:val="none" w:color="auto" w:sz="0" w:space="0"/>
        <w:between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F89982F"/>
    <w:multiLevelType w:val="singleLevel"/>
    <w:tmpl w:val="AF89982F"/>
    <w:lvl w:ilvl="0" w:tentative="0">
      <w:start w:val="2"/>
      <w:numFmt w:val="decimal"/>
      <w:suff w:val="nothing"/>
      <w:lvlText w:val="（%1）"/>
      <w:lvlJc w:val="left"/>
    </w:lvl>
  </w:abstractNum>
  <w:abstractNum w:abstractNumId="1">
    <w:nsid w:val="EE9011DD"/>
    <w:multiLevelType w:val="singleLevel"/>
    <w:tmpl w:val="EE9011DD"/>
    <w:lvl w:ilvl="0" w:tentative="0">
      <w:start w:val="2"/>
      <w:numFmt w:val="chineseCounting"/>
      <w:suff w:val="nothing"/>
      <w:lvlText w:val="%1、"/>
      <w:lvlJc w:val="left"/>
      <w:rPr>
        <w:rFonts w:hint="eastAsia"/>
      </w:rPr>
    </w:lvl>
  </w:abstractNum>
  <w:abstractNum w:abstractNumId="2">
    <w:nsid w:val="00000029"/>
    <w:multiLevelType w:val="singleLevel"/>
    <w:tmpl w:val="00000029"/>
    <w:lvl w:ilvl="0" w:tentative="0">
      <w:start w:val="1"/>
      <w:numFmt w:val="decimal"/>
      <w:suff w:val="nothing"/>
      <w:lvlText w:val="（%1）"/>
      <w:lvlJc w:val="left"/>
    </w:lvl>
  </w:abstractNum>
  <w:abstractNum w:abstractNumId="3">
    <w:nsid w:val="1B0D8629"/>
    <w:multiLevelType w:val="singleLevel"/>
    <w:tmpl w:val="1B0D8629"/>
    <w:lvl w:ilvl="0" w:tentative="0">
      <w:start w:val="1"/>
      <w:numFmt w:val="decimal"/>
      <w:lvlText w:val="%1."/>
      <w:lvlJc w:val="left"/>
      <w:pPr>
        <w:tabs>
          <w:tab w:val="left" w:pos="312"/>
        </w:tabs>
      </w:pPr>
    </w:lvl>
  </w:abstractNum>
  <w:abstractNum w:abstractNumId="4">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126"/>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4"/>
  </w:num>
  <w:num w:numId="2">
    <w:abstractNumId w:val="0"/>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7"/>
  <w:embedTrueTypeFonts/>
  <w:saveSubset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NjMjIxZjBiNWQzMzA2YmQyNzdlZWFiMWEzMzdlNmMifQ=="/>
  </w:docVars>
  <w:rsids>
    <w:rsidRoot w:val="00C0758D"/>
    <w:rsid w:val="00005994"/>
    <w:rsid w:val="000107E5"/>
    <w:rsid w:val="00013372"/>
    <w:rsid w:val="00013A29"/>
    <w:rsid w:val="000151BD"/>
    <w:rsid w:val="00020AB2"/>
    <w:rsid w:val="000230F3"/>
    <w:rsid w:val="00024DF8"/>
    <w:rsid w:val="00030EAD"/>
    <w:rsid w:val="0003247A"/>
    <w:rsid w:val="00034D86"/>
    <w:rsid w:val="00036E28"/>
    <w:rsid w:val="00040064"/>
    <w:rsid w:val="00042152"/>
    <w:rsid w:val="000421D3"/>
    <w:rsid w:val="0005087E"/>
    <w:rsid w:val="00055422"/>
    <w:rsid w:val="000571A8"/>
    <w:rsid w:val="0006080E"/>
    <w:rsid w:val="0006347D"/>
    <w:rsid w:val="00070C33"/>
    <w:rsid w:val="00076794"/>
    <w:rsid w:val="000772D7"/>
    <w:rsid w:val="00082E58"/>
    <w:rsid w:val="000834D4"/>
    <w:rsid w:val="0008543B"/>
    <w:rsid w:val="0008668B"/>
    <w:rsid w:val="0009077D"/>
    <w:rsid w:val="0009097A"/>
    <w:rsid w:val="00091B5E"/>
    <w:rsid w:val="00094E1D"/>
    <w:rsid w:val="0009543E"/>
    <w:rsid w:val="00096B7A"/>
    <w:rsid w:val="0009728F"/>
    <w:rsid w:val="000975F5"/>
    <w:rsid w:val="00097693"/>
    <w:rsid w:val="000A15B2"/>
    <w:rsid w:val="000A3C91"/>
    <w:rsid w:val="000B0860"/>
    <w:rsid w:val="000B2ECB"/>
    <w:rsid w:val="000B7038"/>
    <w:rsid w:val="000C28BA"/>
    <w:rsid w:val="000C6200"/>
    <w:rsid w:val="000E1F82"/>
    <w:rsid w:val="000E426A"/>
    <w:rsid w:val="000E5A89"/>
    <w:rsid w:val="000F373A"/>
    <w:rsid w:val="000F409F"/>
    <w:rsid w:val="000F5CA7"/>
    <w:rsid w:val="001020BF"/>
    <w:rsid w:val="00102585"/>
    <w:rsid w:val="00102EDD"/>
    <w:rsid w:val="0010572F"/>
    <w:rsid w:val="00110833"/>
    <w:rsid w:val="001212F9"/>
    <w:rsid w:val="001224A0"/>
    <w:rsid w:val="0012308E"/>
    <w:rsid w:val="0013179C"/>
    <w:rsid w:val="00131973"/>
    <w:rsid w:val="00136B90"/>
    <w:rsid w:val="00137147"/>
    <w:rsid w:val="00137229"/>
    <w:rsid w:val="00142E0A"/>
    <w:rsid w:val="001526E0"/>
    <w:rsid w:val="00156B76"/>
    <w:rsid w:val="0015723D"/>
    <w:rsid w:val="00161884"/>
    <w:rsid w:val="001664CC"/>
    <w:rsid w:val="00170B3A"/>
    <w:rsid w:val="00173DE7"/>
    <w:rsid w:val="001757E2"/>
    <w:rsid w:val="00175875"/>
    <w:rsid w:val="00176BBA"/>
    <w:rsid w:val="00185042"/>
    <w:rsid w:val="00191C4A"/>
    <w:rsid w:val="001A0186"/>
    <w:rsid w:val="001A0E69"/>
    <w:rsid w:val="001A1E4B"/>
    <w:rsid w:val="001A34D4"/>
    <w:rsid w:val="001A5546"/>
    <w:rsid w:val="001C01C2"/>
    <w:rsid w:val="001C62A5"/>
    <w:rsid w:val="001D0E86"/>
    <w:rsid w:val="001D15A3"/>
    <w:rsid w:val="001D2371"/>
    <w:rsid w:val="001D2956"/>
    <w:rsid w:val="001E1690"/>
    <w:rsid w:val="001F76D3"/>
    <w:rsid w:val="00207779"/>
    <w:rsid w:val="00210AE5"/>
    <w:rsid w:val="002155EB"/>
    <w:rsid w:val="002159D1"/>
    <w:rsid w:val="0022485E"/>
    <w:rsid w:val="00225089"/>
    <w:rsid w:val="00242B81"/>
    <w:rsid w:val="00245A67"/>
    <w:rsid w:val="00245B8E"/>
    <w:rsid w:val="00255E95"/>
    <w:rsid w:val="00264FB2"/>
    <w:rsid w:val="00273599"/>
    <w:rsid w:val="00274C65"/>
    <w:rsid w:val="00275F13"/>
    <w:rsid w:val="002767BE"/>
    <w:rsid w:val="00283D04"/>
    <w:rsid w:val="0028587A"/>
    <w:rsid w:val="0028594F"/>
    <w:rsid w:val="00285A8E"/>
    <w:rsid w:val="00286239"/>
    <w:rsid w:val="00287885"/>
    <w:rsid w:val="002953B2"/>
    <w:rsid w:val="002A3EAB"/>
    <w:rsid w:val="002B0AF0"/>
    <w:rsid w:val="002B2801"/>
    <w:rsid w:val="002B5220"/>
    <w:rsid w:val="002D1981"/>
    <w:rsid w:val="002D1D71"/>
    <w:rsid w:val="002E15CA"/>
    <w:rsid w:val="002E57D6"/>
    <w:rsid w:val="002E600A"/>
    <w:rsid w:val="002E6DB4"/>
    <w:rsid w:val="00303058"/>
    <w:rsid w:val="003119D1"/>
    <w:rsid w:val="00312F1A"/>
    <w:rsid w:val="00324388"/>
    <w:rsid w:val="0032513E"/>
    <w:rsid w:val="00336F5B"/>
    <w:rsid w:val="0034018C"/>
    <w:rsid w:val="003623B1"/>
    <w:rsid w:val="003625DF"/>
    <w:rsid w:val="00364656"/>
    <w:rsid w:val="00371DF2"/>
    <w:rsid w:val="00372FCF"/>
    <w:rsid w:val="00373488"/>
    <w:rsid w:val="003845DC"/>
    <w:rsid w:val="00390BEB"/>
    <w:rsid w:val="00394A82"/>
    <w:rsid w:val="003A7991"/>
    <w:rsid w:val="003B0323"/>
    <w:rsid w:val="003B1BD3"/>
    <w:rsid w:val="003D7455"/>
    <w:rsid w:val="003E0CBE"/>
    <w:rsid w:val="003E5DCB"/>
    <w:rsid w:val="003E7362"/>
    <w:rsid w:val="003F5064"/>
    <w:rsid w:val="003F53F7"/>
    <w:rsid w:val="003F65BA"/>
    <w:rsid w:val="0040291B"/>
    <w:rsid w:val="00403BBF"/>
    <w:rsid w:val="004102D9"/>
    <w:rsid w:val="004125C7"/>
    <w:rsid w:val="004135D3"/>
    <w:rsid w:val="00416480"/>
    <w:rsid w:val="004164A4"/>
    <w:rsid w:val="00421629"/>
    <w:rsid w:val="004231C1"/>
    <w:rsid w:val="00423764"/>
    <w:rsid w:val="0042507F"/>
    <w:rsid w:val="00425765"/>
    <w:rsid w:val="0042615C"/>
    <w:rsid w:val="00431F5D"/>
    <w:rsid w:val="00432C41"/>
    <w:rsid w:val="00434EC6"/>
    <w:rsid w:val="00441876"/>
    <w:rsid w:val="00455BC7"/>
    <w:rsid w:val="00461571"/>
    <w:rsid w:val="004649CF"/>
    <w:rsid w:val="00465EB7"/>
    <w:rsid w:val="00471ECA"/>
    <w:rsid w:val="00475820"/>
    <w:rsid w:val="004767FF"/>
    <w:rsid w:val="00490B9C"/>
    <w:rsid w:val="004A3028"/>
    <w:rsid w:val="004A38FE"/>
    <w:rsid w:val="004A5916"/>
    <w:rsid w:val="004A5B7A"/>
    <w:rsid w:val="004A7EDB"/>
    <w:rsid w:val="004B3F79"/>
    <w:rsid w:val="004C11C7"/>
    <w:rsid w:val="004C4D8A"/>
    <w:rsid w:val="004C7F44"/>
    <w:rsid w:val="004E05B0"/>
    <w:rsid w:val="004E61D6"/>
    <w:rsid w:val="004F0022"/>
    <w:rsid w:val="004F1B14"/>
    <w:rsid w:val="004F1E90"/>
    <w:rsid w:val="0050072B"/>
    <w:rsid w:val="00501568"/>
    <w:rsid w:val="00503F3F"/>
    <w:rsid w:val="005150F5"/>
    <w:rsid w:val="00523798"/>
    <w:rsid w:val="00527577"/>
    <w:rsid w:val="00527BBC"/>
    <w:rsid w:val="005310EA"/>
    <w:rsid w:val="0053201C"/>
    <w:rsid w:val="005334FB"/>
    <w:rsid w:val="0053707F"/>
    <w:rsid w:val="00537646"/>
    <w:rsid w:val="00540210"/>
    <w:rsid w:val="00540AF4"/>
    <w:rsid w:val="00546A9F"/>
    <w:rsid w:val="0054789D"/>
    <w:rsid w:val="005511FA"/>
    <w:rsid w:val="00555429"/>
    <w:rsid w:val="00560AD8"/>
    <w:rsid w:val="00560D44"/>
    <w:rsid w:val="0056271D"/>
    <w:rsid w:val="00566B50"/>
    <w:rsid w:val="005704FD"/>
    <w:rsid w:val="00571021"/>
    <w:rsid w:val="005729E3"/>
    <w:rsid w:val="005739F5"/>
    <w:rsid w:val="00574DD9"/>
    <w:rsid w:val="0057520B"/>
    <w:rsid w:val="0057615B"/>
    <w:rsid w:val="00581BF1"/>
    <w:rsid w:val="0058387F"/>
    <w:rsid w:val="00585797"/>
    <w:rsid w:val="005864B8"/>
    <w:rsid w:val="005874F6"/>
    <w:rsid w:val="00587E3B"/>
    <w:rsid w:val="005908DF"/>
    <w:rsid w:val="00592B5B"/>
    <w:rsid w:val="00592DD3"/>
    <w:rsid w:val="005A141C"/>
    <w:rsid w:val="005B3962"/>
    <w:rsid w:val="005B6522"/>
    <w:rsid w:val="005D6330"/>
    <w:rsid w:val="005D7987"/>
    <w:rsid w:val="005D7A02"/>
    <w:rsid w:val="005E44ED"/>
    <w:rsid w:val="005F2D2F"/>
    <w:rsid w:val="005F7637"/>
    <w:rsid w:val="00603592"/>
    <w:rsid w:val="0061670E"/>
    <w:rsid w:val="00620A09"/>
    <w:rsid w:val="006272A4"/>
    <w:rsid w:val="00627D79"/>
    <w:rsid w:val="00634514"/>
    <w:rsid w:val="006350C2"/>
    <w:rsid w:val="00645D96"/>
    <w:rsid w:val="00645F36"/>
    <w:rsid w:val="0065455D"/>
    <w:rsid w:val="00661724"/>
    <w:rsid w:val="00664EC5"/>
    <w:rsid w:val="00665542"/>
    <w:rsid w:val="00667AE8"/>
    <w:rsid w:val="006702EC"/>
    <w:rsid w:val="00675F03"/>
    <w:rsid w:val="00680521"/>
    <w:rsid w:val="00680A29"/>
    <w:rsid w:val="00682944"/>
    <w:rsid w:val="00683496"/>
    <w:rsid w:val="00690B12"/>
    <w:rsid w:val="00695A39"/>
    <w:rsid w:val="00696576"/>
    <w:rsid w:val="006A3C17"/>
    <w:rsid w:val="006A4D25"/>
    <w:rsid w:val="006A61AB"/>
    <w:rsid w:val="006B1EEC"/>
    <w:rsid w:val="006B225A"/>
    <w:rsid w:val="006D1B6A"/>
    <w:rsid w:val="006D1EC2"/>
    <w:rsid w:val="006D587E"/>
    <w:rsid w:val="006D6D0D"/>
    <w:rsid w:val="006E17FD"/>
    <w:rsid w:val="006E191B"/>
    <w:rsid w:val="006E34BA"/>
    <w:rsid w:val="006E39EC"/>
    <w:rsid w:val="006E55BF"/>
    <w:rsid w:val="006E6774"/>
    <w:rsid w:val="00714E9B"/>
    <w:rsid w:val="007168DF"/>
    <w:rsid w:val="00727053"/>
    <w:rsid w:val="00741F24"/>
    <w:rsid w:val="00743971"/>
    <w:rsid w:val="0074479D"/>
    <w:rsid w:val="007451EE"/>
    <w:rsid w:val="0074625E"/>
    <w:rsid w:val="00747EC1"/>
    <w:rsid w:val="00752036"/>
    <w:rsid w:val="007547E1"/>
    <w:rsid w:val="0075590B"/>
    <w:rsid w:val="00756DF9"/>
    <w:rsid w:val="00760846"/>
    <w:rsid w:val="00767974"/>
    <w:rsid w:val="00771C18"/>
    <w:rsid w:val="007739FF"/>
    <w:rsid w:val="00781992"/>
    <w:rsid w:val="0079284A"/>
    <w:rsid w:val="007930F0"/>
    <w:rsid w:val="007950F6"/>
    <w:rsid w:val="00795261"/>
    <w:rsid w:val="0079661A"/>
    <w:rsid w:val="00797EB2"/>
    <w:rsid w:val="007A3628"/>
    <w:rsid w:val="007A4025"/>
    <w:rsid w:val="007A771C"/>
    <w:rsid w:val="007B49C3"/>
    <w:rsid w:val="007C6A09"/>
    <w:rsid w:val="007C79F2"/>
    <w:rsid w:val="007D2D66"/>
    <w:rsid w:val="007D7D39"/>
    <w:rsid w:val="007E18BF"/>
    <w:rsid w:val="007E5AE4"/>
    <w:rsid w:val="007F19E4"/>
    <w:rsid w:val="007F2E49"/>
    <w:rsid w:val="007F3405"/>
    <w:rsid w:val="007F55D1"/>
    <w:rsid w:val="00802411"/>
    <w:rsid w:val="0080605B"/>
    <w:rsid w:val="00810F7C"/>
    <w:rsid w:val="0082076A"/>
    <w:rsid w:val="00821C8B"/>
    <w:rsid w:val="00823B44"/>
    <w:rsid w:val="008301C2"/>
    <w:rsid w:val="008307C7"/>
    <w:rsid w:val="00840E54"/>
    <w:rsid w:val="00841BF9"/>
    <w:rsid w:val="0084379E"/>
    <w:rsid w:val="00861AED"/>
    <w:rsid w:val="00865155"/>
    <w:rsid w:val="008720D6"/>
    <w:rsid w:val="00877C14"/>
    <w:rsid w:val="00885631"/>
    <w:rsid w:val="00891388"/>
    <w:rsid w:val="00894456"/>
    <w:rsid w:val="00895521"/>
    <w:rsid w:val="008A2D91"/>
    <w:rsid w:val="008B1F3C"/>
    <w:rsid w:val="008C21CD"/>
    <w:rsid w:val="008C2869"/>
    <w:rsid w:val="008C4333"/>
    <w:rsid w:val="008C4D2D"/>
    <w:rsid w:val="008C6407"/>
    <w:rsid w:val="008D148D"/>
    <w:rsid w:val="008E0C60"/>
    <w:rsid w:val="008E1659"/>
    <w:rsid w:val="008E6722"/>
    <w:rsid w:val="008F5547"/>
    <w:rsid w:val="008F7C77"/>
    <w:rsid w:val="00901DF2"/>
    <w:rsid w:val="00902609"/>
    <w:rsid w:val="00903E41"/>
    <w:rsid w:val="00913D47"/>
    <w:rsid w:val="009162AE"/>
    <w:rsid w:val="009174A2"/>
    <w:rsid w:val="00922C5C"/>
    <w:rsid w:val="009261AD"/>
    <w:rsid w:val="009343D6"/>
    <w:rsid w:val="00942037"/>
    <w:rsid w:val="00942DBA"/>
    <w:rsid w:val="009444C8"/>
    <w:rsid w:val="009602E7"/>
    <w:rsid w:val="00960E00"/>
    <w:rsid w:val="0097028E"/>
    <w:rsid w:val="009718D1"/>
    <w:rsid w:val="00975AED"/>
    <w:rsid w:val="0097633F"/>
    <w:rsid w:val="00980347"/>
    <w:rsid w:val="009872E5"/>
    <w:rsid w:val="00990AA8"/>
    <w:rsid w:val="00995257"/>
    <w:rsid w:val="00995CBE"/>
    <w:rsid w:val="009A677C"/>
    <w:rsid w:val="009B2F14"/>
    <w:rsid w:val="009D2C8F"/>
    <w:rsid w:val="009D4468"/>
    <w:rsid w:val="009D7274"/>
    <w:rsid w:val="009F18AD"/>
    <w:rsid w:val="009F1D70"/>
    <w:rsid w:val="009F3F2E"/>
    <w:rsid w:val="00A0371A"/>
    <w:rsid w:val="00A03823"/>
    <w:rsid w:val="00A126AA"/>
    <w:rsid w:val="00A14457"/>
    <w:rsid w:val="00A17F51"/>
    <w:rsid w:val="00A23AB6"/>
    <w:rsid w:val="00A247E1"/>
    <w:rsid w:val="00A301B2"/>
    <w:rsid w:val="00A311C8"/>
    <w:rsid w:val="00A31D1A"/>
    <w:rsid w:val="00A331E5"/>
    <w:rsid w:val="00A34580"/>
    <w:rsid w:val="00A437DC"/>
    <w:rsid w:val="00A45A9A"/>
    <w:rsid w:val="00A46334"/>
    <w:rsid w:val="00A47D7E"/>
    <w:rsid w:val="00A47E00"/>
    <w:rsid w:val="00A51042"/>
    <w:rsid w:val="00A53736"/>
    <w:rsid w:val="00A537D2"/>
    <w:rsid w:val="00A54C9C"/>
    <w:rsid w:val="00A60D54"/>
    <w:rsid w:val="00A617F3"/>
    <w:rsid w:val="00A61D53"/>
    <w:rsid w:val="00A66986"/>
    <w:rsid w:val="00A66D1C"/>
    <w:rsid w:val="00A80077"/>
    <w:rsid w:val="00A82665"/>
    <w:rsid w:val="00A85063"/>
    <w:rsid w:val="00A87C9B"/>
    <w:rsid w:val="00A909D5"/>
    <w:rsid w:val="00A92937"/>
    <w:rsid w:val="00A93F30"/>
    <w:rsid w:val="00AA02A3"/>
    <w:rsid w:val="00AA5166"/>
    <w:rsid w:val="00AB028C"/>
    <w:rsid w:val="00AC3E31"/>
    <w:rsid w:val="00AC7405"/>
    <w:rsid w:val="00AD0A5B"/>
    <w:rsid w:val="00AD7E95"/>
    <w:rsid w:val="00AE09DF"/>
    <w:rsid w:val="00AE278B"/>
    <w:rsid w:val="00AE7CFF"/>
    <w:rsid w:val="00AF0BA8"/>
    <w:rsid w:val="00AF118B"/>
    <w:rsid w:val="00AF1F26"/>
    <w:rsid w:val="00AF67FF"/>
    <w:rsid w:val="00AF79D5"/>
    <w:rsid w:val="00B04E1B"/>
    <w:rsid w:val="00B058D9"/>
    <w:rsid w:val="00B20364"/>
    <w:rsid w:val="00B353B4"/>
    <w:rsid w:val="00B375A2"/>
    <w:rsid w:val="00B376E0"/>
    <w:rsid w:val="00B406F9"/>
    <w:rsid w:val="00B43771"/>
    <w:rsid w:val="00B43AC5"/>
    <w:rsid w:val="00B46FB0"/>
    <w:rsid w:val="00B51BA1"/>
    <w:rsid w:val="00B53805"/>
    <w:rsid w:val="00B560A4"/>
    <w:rsid w:val="00B60277"/>
    <w:rsid w:val="00B62277"/>
    <w:rsid w:val="00B6709D"/>
    <w:rsid w:val="00B73983"/>
    <w:rsid w:val="00B7485B"/>
    <w:rsid w:val="00B80DE1"/>
    <w:rsid w:val="00B82716"/>
    <w:rsid w:val="00B95491"/>
    <w:rsid w:val="00B9652F"/>
    <w:rsid w:val="00BA0B08"/>
    <w:rsid w:val="00BA12C3"/>
    <w:rsid w:val="00BA1880"/>
    <w:rsid w:val="00BA764B"/>
    <w:rsid w:val="00BA7DB0"/>
    <w:rsid w:val="00BB3222"/>
    <w:rsid w:val="00BB5441"/>
    <w:rsid w:val="00BB7157"/>
    <w:rsid w:val="00BD0C4F"/>
    <w:rsid w:val="00BD2A6C"/>
    <w:rsid w:val="00BD3071"/>
    <w:rsid w:val="00BD7E51"/>
    <w:rsid w:val="00BF6EE0"/>
    <w:rsid w:val="00C025F4"/>
    <w:rsid w:val="00C0281C"/>
    <w:rsid w:val="00C03E17"/>
    <w:rsid w:val="00C04413"/>
    <w:rsid w:val="00C0758D"/>
    <w:rsid w:val="00C13C61"/>
    <w:rsid w:val="00C22023"/>
    <w:rsid w:val="00C2705D"/>
    <w:rsid w:val="00C27929"/>
    <w:rsid w:val="00C31165"/>
    <w:rsid w:val="00C3275A"/>
    <w:rsid w:val="00C34708"/>
    <w:rsid w:val="00C36843"/>
    <w:rsid w:val="00C41ECD"/>
    <w:rsid w:val="00C45B40"/>
    <w:rsid w:val="00C53E95"/>
    <w:rsid w:val="00C55FCB"/>
    <w:rsid w:val="00C56D03"/>
    <w:rsid w:val="00C61D8D"/>
    <w:rsid w:val="00C76F7D"/>
    <w:rsid w:val="00C8079D"/>
    <w:rsid w:val="00C818F7"/>
    <w:rsid w:val="00C90655"/>
    <w:rsid w:val="00C958F8"/>
    <w:rsid w:val="00CA1085"/>
    <w:rsid w:val="00CB0C0D"/>
    <w:rsid w:val="00CB1360"/>
    <w:rsid w:val="00CB16A2"/>
    <w:rsid w:val="00CC462B"/>
    <w:rsid w:val="00CC6AD0"/>
    <w:rsid w:val="00CE1E1A"/>
    <w:rsid w:val="00CE47B0"/>
    <w:rsid w:val="00CE57B6"/>
    <w:rsid w:val="00CF6E80"/>
    <w:rsid w:val="00D06454"/>
    <w:rsid w:val="00D1125B"/>
    <w:rsid w:val="00D23B9A"/>
    <w:rsid w:val="00D26B37"/>
    <w:rsid w:val="00D3048B"/>
    <w:rsid w:val="00D31A43"/>
    <w:rsid w:val="00D34694"/>
    <w:rsid w:val="00D42670"/>
    <w:rsid w:val="00D4340E"/>
    <w:rsid w:val="00D44486"/>
    <w:rsid w:val="00D447D2"/>
    <w:rsid w:val="00D45D2E"/>
    <w:rsid w:val="00D5071C"/>
    <w:rsid w:val="00D55CCE"/>
    <w:rsid w:val="00D57738"/>
    <w:rsid w:val="00D60415"/>
    <w:rsid w:val="00D62B50"/>
    <w:rsid w:val="00D6642A"/>
    <w:rsid w:val="00D71BB9"/>
    <w:rsid w:val="00D77E0C"/>
    <w:rsid w:val="00D83E11"/>
    <w:rsid w:val="00D83FBE"/>
    <w:rsid w:val="00D87CA5"/>
    <w:rsid w:val="00D87D0B"/>
    <w:rsid w:val="00D94571"/>
    <w:rsid w:val="00D95839"/>
    <w:rsid w:val="00D97D60"/>
    <w:rsid w:val="00DA1A91"/>
    <w:rsid w:val="00DC3F1B"/>
    <w:rsid w:val="00DC4452"/>
    <w:rsid w:val="00DD10EC"/>
    <w:rsid w:val="00DD3849"/>
    <w:rsid w:val="00DD4F23"/>
    <w:rsid w:val="00DD6FD0"/>
    <w:rsid w:val="00DE0F23"/>
    <w:rsid w:val="00DE632D"/>
    <w:rsid w:val="00DF2E22"/>
    <w:rsid w:val="00DF4394"/>
    <w:rsid w:val="00DF5CC2"/>
    <w:rsid w:val="00E00081"/>
    <w:rsid w:val="00E057C3"/>
    <w:rsid w:val="00E07DA9"/>
    <w:rsid w:val="00E10AE3"/>
    <w:rsid w:val="00E217CA"/>
    <w:rsid w:val="00E35D0A"/>
    <w:rsid w:val="00E424E9"/>
    <w:rsid w:val="00E442F1"/>
    <w:rsid w:val="00E474BE"/>
    <w:rsid w:val="00E47D32"/>
    <w:rsid w:val="00E52BD5"/>
    <w:rsid w:val="00E70612"/>
    <w:rsid w:val="00E80448"/>
    <w:rsid w:val="00E820A8"/>
    <w:rsid w:val="00E820D1"/>
    <w:rsid w:val="00E82EED"/>
    <w:rsid w:val="00E9190B"/>
    <w:rsid w:val="00E957FD"/>
    <w:rsid w:val="00E968AF"/>
    <w:rsid w:val="00E97DA8"/>
    <w:rsid w:val="00EA19D0"/>
    <w:rsid w:val="00EA3295"/>
    <w:rsid w:val="00EA3A71"/>
    <w:rsid w:val="00EA682F"/>
    <w:rsid w:val="00EB15B1"/>
    <w:rsid w:val="00EB6008"/>
    <w:rsid w:val="00EB6459"/>
    <w:rsid w:val="00EC5EB9"/>
    <w:rsid w:val="00ED0482"/>
    <w:rsid w:val="00ED19E4"/>
    <w:rsid w:val="00ED2A01"/>
    <w:rsid w:val="00EF1DD7"/>
    <w:rsid w:val="00EF2BEB"/>
    <w:rsid w:val="00F034DE"/>
    <w:rsid w:val="00F07375"/>
    <w:rsid w:val="00F07CF4"/>
    <w:rsid w:val="00F12D5C"/>
    <w:rsid w:val="00F16DCD"/>
    <w:rsid w:val="00F172E3"/>
    <w:rsid w:val="00F27A07"/>
    <w:rsid w:val="00F326C0"/>
    <w:rsid w:val="00F351B0"/>
    <w:rsid w:val="00F377C2"/>
    <w:rsid w:val="00F500EF"/>
    <w:rsid w:val="00F51DFC"/>
    <w:rsid w:val="00F57799"/>
    <w:rsid w:val="00F65511"/>
    <w:rsid w:val="00F7182E"/>
    <w:rsid w:val="00F74632"/>
    <w:rsid w:val="00F77A27"/>
    <w:rsid w:val="00F84BCB"/>
    <w:rsid w:val="00F93933"/>
    <w:rsid w:val="00F93D31"/>
    <w:rsid w:val="00F94085"/>
    <w:rsid w:val="00F94351"/>
    <w:rsid w:val="00F94F4C"/>
    <w:rsid w:val="00F96EF3"/>
    <w:rsid w:val="00F9744F"/>
    <w:rsid w:val="00F976F3"/>
    <w:rsid w:val="00FA661A"/>
    <w:rsid w:val="00FB0F9A"/>
    <w:rsid w:val="00FB6788"/>
    <w:rsid w:val="00FB6828"/>
    <w:rsid w:val="00FB7243"/>
    <w:rsid w:val="00FC2F39"/>
    <w:rsid w:val="00FC4130"/>
    <w:rsid w:val="00FC6FD0"/>
    <w:rsid w:val="00FD1E87"/>
    <w:rsid w:val="00FD4BD1"/>
    <w:rsid w:val="00FE1E78"/>
    <w:rsid w:val="00FE58D9"/>
    <w:rsid w:val="00FE619D"/>
    <w:rsid w:val="00FF77EC"/>
    <w:rsid w:val="01323926"/>
    <w:rsid w:val="01B53822"/>
    <w:rsid w:val="01C34939"/>
    <w:rsid w:val="022E5E6D"/>
    <w:rsid w:val="022F3DD9"/>
    <w:rsid w:val="0284056C"/>
    <w:rsid w:val="02C85BCE"/>
    <w:rsid w:val="03420683"/>
    <w:rsid w:val="034D4E02"/>
    <w:rsid w:val="034D6BB0"/>
    <w:rsid w:val="03522356"/>
    <w:rsid w:val="035717DD"/>
    <w:rsid w:val="0360582C"/>
    <w:rsid w:val="0398212A"/>
    <w:rsid w:val="03BD228B"/>
    <w:rsid w:val="04387860"/>
    <w:rsid w:val="046A0173"/>
    <w:rsid w:val="047D48B1"/>
    <w:rsid w:val="054A0937"/>
    <w:rsid w:val="05B1034F"/>
    <w:rsid w:val="05EA06E6"/>
    <w:rsid w:val="066B7282"/>
    <w:rsid w:val="06F2019A"/>
    <w:rsid w:val="07127318"/>
    <w:rsid w:val="071744C1"/>
    <w:rsid w:val="0748267E"/>
    <w:rsid w:val="07494538"/>
    <w:rsid w:val="08AD2374"/>
    <w:rsid w:val="08EE4992"/>
    <w:rsid w:val="091268D2"/>
    <w:rsid w:val="09477E43"/>
    <w:rsid w:val="09736C45"/>
    <w:rsid w:val="099B4520"/>
    <w:rsid w:val="099E2E58"/>
    <w:rsid w:val="09E85885"/>
    <w:rsid w:val="09F34213"/>
    <w:rsid w:val="0AF142C5"/>
    <w:rsid w:val="0B7373D0"/>
    <w:rsid w:val="0BDC346B"/>
    <w:rsid w:val="0C255AD0"/>
    <w:rsid w:val="0C6531BD"/>
    <w:rsid w:val="0CA77331"/>
    <w:rsid w:val="0D2C3CDA"/>
    <w:rsid w:val="0D4841C2"/>
    <w:rsid w:val="0D984B5A"/>
    <w:rsid w:val="0DC91529"/>
    <w:rsid w:val="0E0662D9"/>
    <w:rsid w:val="0E344BF5"/>
    <w:rsid w:val="0E7E2310"/>
    <w:rsid w:val="0E88682E"/>
    <w:rsid w:val="0EFC7C6E"/>
    <w:rsid w:val="0F024CF3"/>
    <w:rsid w:val="0F0D30CC"/>
    <w:rsid w:val="0F31382A"/>
    <w:rsid w:val="0F4B1F59"/>
    <w:rsid w:val="0F4F58B3"/>
    <w:rsid w:val="0FA67D74"/>
    <w:rsid w:val="0FF273D5"/>
    <w:rsid w:val="10640774"/>
    <w:rsid w:val="11032FA4"/>
    <w:rsid w:val="11F67B0B"/>
    <w:rsid w:val="12062D4C"/>
    <w:rsid w:val="12413DFD"/>
    <w:rsid w:val="12453C02"/>
    <w:rsid w:val="127A436A"/>
    <w:rsid w:val="12C33317"/>
    <w:rsid w:val="131D4475"/>
    <w:rsid w:val="13201BEB"/>
    <w:rsid w:val="13332E16"/>
    <w:rsid w:val="135519FF"/>
    <w:rsid w:val="13733DDB"/>
    <w:rsid w:val="14264531"/>
    <w:rsid w:val="14553B17"/>
    <w:rsid w:val="148F40C2"/>
    <w:rsid w:val="149F65BB"/>
    <w:rsid w:val="14A12E27"/>
    <w:rsid w:val="14AF1479"/>
    <w:rsid w:val="14B27262"/>
    <w:rsid w:val="14EC447B"/>
    <w:rsid w:val="156C736A"/>
    <w:rsid w:val="1585667E"/>
    <w:rsid w:val="15CD7226"/>
    <w:rsid w:val="15F46E99"/>
    <w:rsid w:val="16013F56"/>
    <w:rsid w:val="16353C00"/>
    <w:rsid w:val="164976AB"/>
    <w:rsid w:val="16685D83"/>
    <w:rsid w:val="16D43419"/>
    <w:rsid w:val="17966C03"/>
    <w:rsid w:val="17E551B2"/>
    <w:rsid w:val="1816180F"/>
    <w:rsid w:val="1830015E"/>
    <w:rsid w:val="18550589"/>
    <w:rsid w:val="18C96881"/>
    <w:rsid w:val="1945415A"/>
    <w:rsid w:val="199C0D40"/>
    <w:rsid w:val="19CE3B68"/>
    <w:rsid w:val="1AC83294"/>
    <w:rsid w:val="1B0F0EC3"/>
    <w:rsid w:val="1B4C3F58"/>
    <w:rsid w:val="1B953BF9"/>
    <w:rsid w:val="1C227709"/>
    <w:rsid w:val="1C47468D"/>
    <w:rsid w:val="1C505B53"/>
    <w:rsid w:val="1C98760D"/>
    <w:rsid w:val="1CA96A4D"/>
    <w:rsid w:val="1D1D451F"/>
    <w:rsid w:val="1D28348F"/>
    <w:rsid w:val="1D425418"/>
    <w:rsid w:val="1DAF2EE3"/>
    <w:rsid w:val="1DD4462B"/>
    <w:rsid w:val="1DFB128B"/>
    <w:rsid w:val="1E2902A2"/>
    <w:rsid w:val="1E4240E9"/>
    <w:rsid w:val="1E990AA4"/>
    <w:rsid w:val="1EAF6853"/>
    <w:rsid w:val="1EB83620"/>
    <w:rsid w:val="1EBA1DEA"/>
    <w:rsid w:val="1EC83FE3"/>
    <w:rsid w:val="1F0252E5"/>
    <w:rsid w:val="1F130856"/>
    <w:rsid w:val="1F3E7457"/>
    <w:rsid w:val="1F686DF4"/>
    <w:rsid w:val="1FA754DC"/>
    <w:rsid w:val="1FF0287B"/>
    <w:rsid w:val="20086DA3"/>
    <w:rsid w:val="200C3C23"/>
    <w:rsid w:val="21073821"/>
    <w:rsid w:val="2115493E"/>
    <w:rsid w:val="21966141"/>
    <w:rsid w:val="21B75530"/>
    <w:rsid w:val="223633BF"/>
    <w:rsid w:val="22400062"/>
    <w:rsid w:val="22465C8A"/>
    <w:rsid w:val="225F3847"/>
    <w:rsid w:val="22A75E85"/>
    <w:rsid w:val="22CA3922"/>
    <w:rsid w:val="22CB16A6"/>
    <w:rsid w:val="22DD3655"/>
    <w:rsid w:val="23AC639B"/>
    <w:rsid w:val="23FE3883"/>
    <w:rsid w:val="24364573"/>
    <w:rsid w:val="25060BA1"/>
    <w:rsid w:val="251D71DB"/>
    <w:rsid w:val="25513E86"/>
    <w:rsid w:val="25771D67"/>
    <w:rsid w:val="25A92D52"/>
    <w:rsid w:val="27304D94"/>
    <w:rsid w:val="27A83832"/>
    <w:rsid w:val="27D112AE"/>
    <w:rsid w:val="27EB6814"/>
    <w:rsid w:val="286659BF"/>
    <w:rsid w:val="289A5B44"/>
    <w:rsid w:val="28CE7DDA"/>
    <w:rsid w:val="290870F3"/>
    <w:rsid w:val="292A4805"/>
    <w:rsid w:val="292D1C8C"/>
    <w:rsid w:val="29946A38"/>
    <w:rsid w:val="29A202DA"/>
    <w:rsid w:val="29AF52FA"/>
    <w:rsid w:val="29CE0573"/>
    <w:rsid w:val="2B544E7B"/>
    <w:rsid w:val="2B73432E"/>
    <w:rsid w:val="2B916318"/>
    <w:rsid w:val="2C041EC8"/>
    <w:rsid w:val="2C510660"/>
    <w:rsid w:val="2C9947F8"/>
    <w:rsid w:val="2CA62D0A"/>
    <w:rsid w:val="2D101ECF"/>
    <w:rsid w:val="2D10443B"/>
    <w:rsid w:val="2D157E8F"/>
    <w:rsid w:val="2D776C8E"/>
    <w:rsid w:val="2DCA35E9"/>
    <w:rsid w:val="2E0E6AD9"/>
    <w:rsid w:val="2F754C15"/>
    <w:rsid w:val="2F7E6FC2"/>
    <w:rsid w:val="2FE518D2"/>
    <w:rsid w:val="30393E95"/>
    <w:rsid w:val="304821C7"/>
    <w:rsid w:val="304C1E1A"/>
    <w:rsid w:val="313F372D"/>
    <w:rsid w:val="32211701"/>
    <w:rsid w:val="326D1CBA"/>
    <w:rsid w:val="32F22F87"/>
    <w:rsid w:val="3301513E"/>
    <w:rsid w:val="330B1CC5"/>
    <w:rsid w:val="337C18E2"/>
    <w:rsid w:val="339315B6"/>
    <w:rsid w:val="34302DE0"/>
    <w:rsid w:val="34A0257B"/>
    <w:rsid w:val="352D58A8"/>
    <w:rsid w:val="35FA5E74"/>
    <w:rsid w:val="36707142"/>
    <w:rsid w:val="368C2F70"/>
    <w:rsid w:val="36A55DE0"/>
    <w:rsid w:val="36F3056E"/>
    <w:rsid w:val="36F40B16"/>
    <w:rsid w:val="370635D5"/>
    <w:rsid w:val="37C761AD"/>
    <w:rsid w:val="37CD3E53"/>
    <w:rsid w:val="385B0E4C"/>
    <w:rsid w:val="386A586E"/>
    <w:rsid w:val="38F8669B"/>
    <w:rsid w:val="39C81205"/>
    <w:rsid w:val="3A5214D0"/>
    <w:rsid w:val="3B251BE5"/>
    <w:rsid w:val="3BE70822"/>
    <w:rsid w:val="3C3E31B8"/>
    <w:rsid w:val="3C733841"/>
    <w:rsid w:val="3C9B6939"/>
    <w:rsid w:val="3CB46144"/>
    <w:rsid w:val="3DEB0EC4"/>
    <w:rsid w:val="3E7D7EE3"/>
    <w:rsid w:val="3EC47350"/>
    <w:rsid w:val="3F59366E"/>
    <w:rsid w:val="3F7A6F51"/>
    <w:rsid w:val="3F9D61EE"/>
    <w:rsid w:val="3FA330D9"/>
    <w:rsid w:val="407F58F4"/>
    <w:rsid w:val="40FE34AB"/>
    <w:rsid w:val="41C50675"/>
    <w:rsid w:val="42051E29"/>
    <w:rsid w:val="42BA70B7"/>
    <w:rsid w:val="42FB4E6F"/>
    <w:rsid w:val="4351685F"/>
    <w:rsid w:val="43E551C3"/>
    <w:rsid w:val="442962A2"/>
    <w:rsid w:val="449A0F4E"/>
    <w:rsid w:val="44B10046"/>
    <w:rsid w:val="44F02312"/>
    <w:rsid w:val="452D1DC2"/>
    <w:rsid w:val="45BA0417"/>
    <w:rsid w:val="45D3591D"/>
    <w:rsid w:val="45DE1B4C"/>
    <w:rsid w:val="46184820"/>
    <w:rsid w:val="464173F3"/>
    <w:rsid w:val="46935C55"/>
    <w:rsid w:val="47262F6D"/>
    <w:rsid w:val="476C6808"/>
    <w:rsid w:val="47973A42"/>
    <w:rsid w:val="47B3600D"/>
    <w:rsid w:val="48120E9F"/>
    <w:rsid w:val="4849563F"/>
    <w:rsid w:val="485371E2"/>
    <w:rsid w:val="48537D92"/>
    <w:rsid w:val="486B7371"/>
    <w:rsid w:val="48F65D82"/>
    <w:rsid w:val="48FA3D14"/>
    <w:rsid w:val="48FE2CDC"/>
    <w:rsid w:val="491B7A5E"/>
    <w:rsid w:val="495B3E2E"/>
    <w:rsid w:val="49795404"/>
    <w:rsid w:val="49EE63DB"/>
    <w:rsid w:val="49F71F35"/>
    <w:rsid w:val="4A164D6C"/>
    <w:rsid w:val="4A190E95"/>
    <w:rsid w:val="4A2716AE"/>
    <w:rsid w:val="4A7A0125"/>
    <w:rsid w:val="4B0610EB"/>
    <w:rsid w:val="4B7C13AE"/>
    <w:rsid w:val="4B911B6E"/>
    <w:rsid w:val="4B9B709A"/>
    <w:rsid w:val="4BD9235C"/>
    <w:rsid w:val="4BEE1D49"/>
    <w:rsid w:val="4C1C049B"/>
    <w:rsid w:val="4C1E229E"/>
    <w:rsid w:val="4CC0351C"/>
    <w:rsid w:val="4CCE3E8B"/>
    <w:rsid w:val="4D8D11E7"/>
    <w:rsid w:val="4DB43081"/>
    <w:rsid w:val="4DDC6134"/>
    <w:rsid w:val="4E2E5C98"/>
    <w:rsid w:val="4E451F2B"/>
    <w:rsid w:val="4EA93926"/>
    <w:rsid w:val="4F1610DE"/>
    <w:rsid w:val="4FA709C3"/>
    <w:rsid w:val="4FB8672C"/>
    <w:rsid w:val="4FEF2C84"/>
    <w:rsid w:val="500E597D"/>
    <w:rsid w:val="501C315F"/>
    <w:rsid w:val="501D3A24"/>
    <w:rsid w:val="50281B04"/>
    <w:rsid w:val="50D47596"/>
    <w:rsid w:val="515D338B"/>
    <w:rsid w:val="5171421D"/>
    <w:rsid w:val="525D7E4A"/>
    <w:rsid w:val="530C74BB"/>
    <w:rsid w:val="53513120"/>
    <w:rsid w:val="544F3B03"/>
    <w:rsid w:val="545F7A55"/>
    <w:rsid w:val="54684787"/>
    <w:rsid w:val="550B626D"/>
    <w:rsid w:val="55A325CC"/>
    <w:rsid w:val="55D927F0"/>
    <w:rsid w:val="564561DE"/>
    <w:rsid w:val="565704F6"/>
    <w:rsid w:val="566A4125"/>
    <w:rsid w:val="56F25990"/>
    <w:rsid w:val="572052E3"/>
    <w:rsid w:val="578F06BB"/>
    <w:rsid w:val="578F1872"/>
    <w:rsid w:val="58030761"/>
    <w:rsid w:val="596F2552"/>
    <w:rsid w:val="59841DE0"/>
    <w:rsid w:val="59C0604D"/>
    <w:rsid w:val="59D46859"/>
    <w:rsid w:val="59F111B9"/>
    <w:rsid w:val="5A0C6E42"/>
    <w:rsid w:val="5A753B98"/>
    <w:rsid w:val="5A7B7B92"/>
    <w:rsid w:val="5AD80991"/>
    <w:rsid w:val="5ADC7773"/>
    <w:rsid w:val="5AE64A95"/>
    <w:rsid w:val="5BC03170"/>
    <w:rsid w:val="5C142F3C"/>
    <w:rsid w:val="5C5129B6"/>
    <w:rsid w:val="5C9119E0"/>
    <w:rsid w:val="5CB5105B"/>
    <w:rsid w:val="5CD5091E"/>
    <w:rsid w:val="5D6A3CB1"/>
    <w:rsid w:val="5E0E4115"/>
    <w:rsid w:val="5E4775F9"/>
    <w:rsid w:val="5F182D44"/>
    <w:rsid w:val="5FBC5DC5"/>
    <w:rsid w:val="5FBF7663"/>
    <w:rsid w:val="5FCA136C"/>
    <w:rsid w:val="602776E2"/>
    <w:rsid w:val="609D7C06"/>
    <w:rsid w:val="61367EA1"/>
    <w:rsid w:val="617F70AA"/>
    <w:rsid w:val="61D76EE6"/>
    <w:rsid w:val="61DE64C6"/>
    <w:rsid w:val="625C13E7"/>
    <w:rsid w:val="62984D49"/>
    <w:rsid w:val="62EA0E9B"/>
    <w:rsid w:val="632C3261"/>
    <w:rsid w:val="63B4491F"/>
    <w:rsid w:val="63CE60C7"/>
    <w:rsid w:val="63E76AD5"/>
    <w:rsid w:val="64040480"/>
    <w:rsid w:val="644E25E0"/>
    <w:rsid w:val="64835103"/>
    <w:rsid w:val="64992B79"/>
    <w:rsid w:val="64CB0C17"/>
    <w:rsid w:val="64FA3254"/>
    <w:rsid w:val="654262B1"/>
    <w:rsid w:val="6578453C"/>
    <w:rsid w:val="662B5D60"/>
    <w:rsid w:val="665C20B0"/>
    <w:rsid w:val="668478F0"/>
    <w:rsid w:val="66CC2D91"/>
    <w:rsid w:val="672238FE"/>
    <w:rsid w:val="672F3320"/>
    <w:rsid w:val="674212A6"/>
    <w:rsid w:val="67801DCE"/>
    <w:rsid w:val="68383200"/>
    <w:rsid w:val="6844104D"/>
    <w:rsid w:val="687E2E56"/>
    <w:rsid w:val="68EE5E8F"/>
    <w:rsid w:val="68F62348"/>
    <w:rsid w:val="691941E0"/>
    <w:rsid w:val="69885749"/>
    <w:rsid w:val="6A6B2CDD"/>
    <w:rsid w:val="6B16634D"/>
    <w:rsid w:val="6BCC5DFD"/>
    <w:rsid w:val="6E867CCA"/>
    <w:rsid w:val="6ED50716"/>
    <w:rsid w:val="70131DF1"/>
    <w:rsid w:val="703219A0"/>
    <w:rsid w:val="703B27AF"/>
    <w:rsid w:val="70820965"/>
    <w:rsid w:val="716770DC"/>
    <w:rsid w:val="71F15DA2"/>
    <w:rsid w:val="721F5A7B"/>
    <w:rsid w:val="72440A97"/>
    <w:rsid w:val="726E73F3"/>
    <w:rsid w:val="7279110F"/>
    <w:rsid w:val="7306762B"/>
    <w:rsid w:val="732D698C"/>
    <w:rsid w:val="733F6699"/>
    <w:rsid w:val="73504D4A"/>
    <w:rsid w:val="73950233"/>
    <w:rsid w:val="73E159A2"/>
    <w:rsid w:val="747D391D"/>
    <w:rsid w:val="74D13C69"/>
    <w:rsid w:val="74F31E31"/>
    <w:rsid w:val="7504089A"/>
    <w:rsid w:val="750E2C8A"/>
    <w:rsid w:val="75381A33"/>
    <w:rsid w:val="755E374E"/>
    <w:rsid w:val="757E664F"/>
    <w:rsid w:val="75937C18"/>
    <w:rsid w:val="75AB44BA"/>
    <w:rsid w:val="75D8338F"/>
    <w:rsid w:val="763D6B0C"/>
    <w:rsid w:val="766905FD"/>
    <w:rsid w:val="76740D50"/>
    <w:rsid w:val="76BA0029"/>
    <w:rsid w:val="76D3507A"/>
    <w:rsid w:val="76EA1012"/>
    <w:rsid w:val="76F0487A"/>
    <w:rsid w:val="773109EF"/>
    <w:rsid w:val="77651323"/>
    <w:rsid w:val="77684FE2"/>
    <w:rsid w:val="779B549C"/>
    <w:rsid w:val="77F24622"/>
    <w:rsid w:val="782F0AB1"/>
    <w:rsid w:val="784A1C60"/>
    <w:rsid w:val="78637FC4"/>
    <w:rsid w:val="787C71F7"/>
    <w:rsid w:val="788A6608"/>
    <w:rsid w:val="78B139DF"/>
    <w:rsid w:val="78DB6E64"/>
    <w:rsid w:val="78DE2E63"/>
    <w:rsid w:val="794627CA"/>
    <w:rsid w:val="795E7593"/>
    <w:rsid w:val="79766B8D"/>
    <w:rsid w:val="79A93D49"/>
    <w:rsid w:val="79AD5805"/>
    <w:rsid w:val="79BD47BC"/>
    <w:rsid w:val="79C478F8"/>
    <w:rsid w:val="79E43550"/>
    <w:rsid w:val="7A7C6772"/>
    <w:rsid w:val="7B00675D"/>
    <w:rsid w:val="7B160627"/>
    <w:rsid w:val="7B7535A0"/>
    <w:rsid w:val="7BDE61A2"/>
    <w:rsid w:val="7C1463F8"/>
    <w:rsid w:val="7C482A62"/>
    <w:rsid w:val="7CD107B6"/>
    <w:rsid w:val="7CF5040F"/>
    <w:rsid w:val="7D0D15B6"/>
    <w:rsid w:val="7D3B4375"/>
    <w:rsid w:val="7D8A7232"/>
    <w:rsid w:val="7DBF6D54"/>
    <w:rsid w:val="7DD673A5"/>
    <w:rsid w:val="7E1075B0"/>
    <w:rsid w:val="7EA61409"/>
    <w:rsid w:val="7EEF3669"/>
    <w:rsid w:val="7F2843DB"/>
    <w:rsid w:val="7F2A3D79"/>
    <w:rsid w:val="7F3D48A7"/>
    <w:rsid w:val="7F6F6558"/>
    <w:rsid w:val="7F79118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99" w:semiHidden="0"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qFormat="1" w:unhideWhenUsed="0"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semiHidden="0" w:name="HTML Cite"/>
    <w:lsdException w:qFormat="1" w:uiPriority="99" w:semiHidden="0" w:name="HTML Code"/>
    <w:lsdException w:qFormat="1" w:uiPriority="99" w:semiHidden="0" w:name="HTML Definition"/>
    <w:lsdException w:uiPriority="99" w:name="HTML Keyboard"/>
    <w:lsdException w:qFormat="1" w:unhideWhenUsed="0" w:uiPriority="0" w:semiHidden="0" w:name="HTML Preformatted"/>
    <w:lsdException w:uiPriority="99" w:name="HTML Sample"/>
    <w:lsdException w:uiPriority="99" w:name="HTML Typewriter"/>
    <w:lsdException w:qFormat="1" w:uiPriority="99" w:semiHidden="0"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宋体" w:hAnsi="等线" w:eastAsia="等线" w:cs="等线"/>
      <w:sz w:val="34"/>
      <w:lang w:val="en-US" w:eastAsia="zh-CN" w:bidi="ar-SA"/>
    </w:rPr>
  </w:style>
  <w:style w:type="paragraph" w:styleId="2">
    <w:name w:val="heading 1"/>
    <w:basedOn w:val="1"/>
    <w:next w:val="1"/>
    <w:link w:val="46"/>
    <w:qFormat/>
    <w:uiPriority w:val="0"/>
    <w:pPr>
      <w:keepNext/>
      <w:keepLines/>
      <w:spacing w:before="340" w:after="330" w:line="576" w:lineRule="auto"/>
      <w:outlineLvl w:val="0"/>
    </w:pPr>
    <w:rPr>
      <w:b/>
      <w:bCs/>
      <w:kern w:val="44"/>
      <w:sz w:val="44"/>
      <w:szCs w:val="44"/>
    </w:rPr>
  </w:style>
  <w:style w:type="paragraph" w:styleId="3">
    <w:name w:val="heading 2"/>
    <w:basedOn w:val="1"/>
    <w:next w:val="1"/>
    <w:link w:val="47"/>
    <w:qFormat/>
    <w:uiPriority w:val="0"/>
    <w:pPr>
      <w:keepNext/>
      <w:keepLines/>
      <w:spacing w:before="260" w:after="260" w:line="500" w:lineRule="exact"/>
      <w:outlineLvl w:val="1"/>
    </w:pPr>
    <w:rPr>
      <w:rFonts w:ascii="Arial" w:hAnsi="Arial" w:eastAsia="黑体"/>
      <w:b/>
      <w:kern w:val="2"/>
      <w:sz w:val="28"/>
    </w:rPr>
  </w:style>
  <w:style w:type="paragraph" w:styleId="4">
    <w:name w:val="heading 3"/>
    <w:basedOn w:val="1"/>
    <w:next w:val="1"/>
    <w:link w:val="48"/>
    <w:qFormat/>
    <w:uiPriority w:val="0"/>
    <w:pPr>
      <w:keepNext/>
      <w:keepLines/>
      <w:spacing w:before="260" w:after="260" w:line="413" w:lineRule="auto"/>
      <w:outlineLvl w:val="2"/>
    </w:pPr>
    <w:rPr>
      <w:rFonts w:ascii="Times New Roman"/>
      <w:b/>
      <w:kern w:val="2"/>
      <w:sz w:val="24"/>
    </w:rPr>
  </w:style>
  <w:style w:type="paragraph" w:styleId="5">
    <w:name w:val="heading 4"/>
    <w:basedOn w:val="1"/>
    <w:next w:val="1"/>
    <w:link w:val="49"/>
    <w:qFormat/>
    <w:uiPriority w:val="0"/>
    <w:pPr>
      <w:keepNext/>
      <w:keepLines/>
      <w:spacing w:before="280" w:after="290" w:line="376" w:lineRule="auto"/>
      <w:outlineLvl w:val="3"/>
    </w:pPr>
    <w:rPr>
      <w:rFonts w:ascii="Cambria" w:hAnsi="Cambria"/>
      <w:b/>
      <w:bCs/>
      <w:kern w:val="2"/>
      <w:sz w:val="28"/>
      <w:szCs w:val="28"/>
    </w:rPr>
  </w:style>
  <w:style w:type="character" w:default="1" w:styleId="33">
    <w:name w:val="Default Paragraph Font"/>
    <w:semiHidden/>
    <w:unhideWhenUsed/>
    <w:qFormat/>
    <w:uiPriority w:val="1"/>
  </w:style>
  <w:style w:type="table" w:default="1" w:styleId="31">
    <w:name w:val="Normal Table"/>
    <w:semiHidden/>
    <w:unhideWhenUsed/>
    <w:qFormat/>
    <w:uiPriority w:val="99"/>
    <w:tblPr>
      <w:tblLayout w:type="fixed"/>
      <w:tblCellMar>
        <w:top w:w="0" w:type="dxa"/>
        <w:left w:w="108" w:type="dxa"/>
        <w:bottom w:w="0" w:type="dxa"/>
        <w:right w:w="108" w:type="dxa"/>
      </w:tblCellMar>
    </w:tblPr>
  </w:style>
  <w:style w:type="paragraph" w:styleId="6">
    <w:name w:val="toc 7"/>
    <w:basedOn w:val="1"/>
    <w:next w:val="1"/>
    <w:unhideWhenUsed/>
    <w:qFormat/>
    <w:uiPriority w:val="39"/>
    <w:pPr>
      <w:spacing w:line="240" w:lineRule="auto"/>
      <w:ind w:left="2520" w:leftChars="1200" w:firstLine="0" w:firstLineChars="0"/>
    </w:pPr>
    <w:rPr>
      <w:rFonts w:ascii="Calibri" w:hAnsi="Calibri" w:eastAsia="宋体" w:cs="Times New Roman"/>
      <w:kern w:val="2"/>
      <w:sz w:val="21"/>
      <w:szCs w:val="22"/>
    </w:rPr>
  </w:style>
  <w:style w:type="paragraph" w:styleId="7">
    <w:name w:val="Normal Indent"/>
    <w:basedOn w:val="1"/>
    <w:next w:val="8"/>
    <w:link w:val="64"/>
    <w:qFormat/>
    <w:uiPriority w:val="0"/>
    <w:pPr>
      <w:ind w:firstLine="420"/>
    </w:pPr>
    <w:rPr>
      <w:rFonts w:ascii="Times New Roman"/>
      <w:kern w:val="2"/>
      <w:sz w:val="21"/>
    </w:rPr>
  </w:style>
  <w:style w:type="paragraph" w:styleId="8">
    <w:name w:val="Plain Text"/>
    <w:basedOn w:val="1"/>
    <w:link w:val="54"/>
    <w:qFormat/>
    <w:uiPriority w:val="0"/>
    <w:rPr>
      <w:rFonts w:hAnsi="Courier New"/>
      <w:kern w:val="2"/>
      <w:sz w:val="21"/>
    </w:rPr>
  </w:style>
  <w:style w:type="paragraph" w:styleId="9">
    <w:name w:val="annotation text"/>
    <w:basedOn w:val="1"/>
    <w:link w:val="50"/>
    <w:unhideWhenUsed/>
    <w:qFormat/>
    <w:uiPriority w:val="99"/>
    <w:pPr>
      <w:jc w:val="left"/>
    </w:pPr>
  </w:style>
  <w:style w:type="paragraph" w:styleId="10">
    <w:name w:val="Body Text"/>
    <w:basedOn w:val="1"/>
    <w:link w:val="51"/>
    <w:unhideWhenUsed/>
    <w:qFormat/>
    <w:uiPriority w:val="0"/>
    <w:pPr>
      <w:spacing w:after="120" w:line="240" w:lineRule="auto"/>
      <w:ind w:firstLine="0" w:firstLineChars="0"/>
    </w:pPr>
    <w:rPr>
      <w:rFonts w:ascii="Times New Roman"/>
      <w:kern w:val="2"/>
      <w:sz w:val="21"/>
      <w:szCs w:val="24"/>
    </w:rPr>
  </w:style>
  <w:style w:type="paragraph" w:styleId="11">
    <w:name w:val="Body Text Indent"/>
    <w:basedOn w:val="1"/>
    <w:link w:val="53"/>
    <w:qFormat/>
    <w:uiPriority w:val="0"/>
    <w:pPr>
      <w:ind w:firstLine="630"/>
    </w:pPr>
    <w:rPr>
      <w:sz w:val="32"/>
    </w:rPr>
  </w:style>
  <w:style w:type="paragraph" w:styleId="12">
    <w:name w:val="toc 5"/>
    <w:basedOn w:val="1"/>
    <w:next w:val="1"/>
    <w:unhideWhenUsed/>
    <w:qFormat/>
    <w:uiPriority w:val="39"/>
    <w:pPr>
      <w:spacing w:line="240" w:lineRule="auto"/>
      <w:ind w:left="1680" w:leftChars="800" w:firstLine="0" w:firstLineChars="0"/>
    </w:pPr>
    <w:rPr>
      <w:rFonts w:ascii="Calibri" w:hAnsi="Calibri" w:eastAsia="宋体" w:cs="Times New Roman"/>
      <w:kern w:val="2"/>
      <w:sz w:val="21"/>
      <w:szCs w:val="22"/>
    </w:rPr>
  </w:style>
  <w:style w:type="paragraph" w:styleId="13">
    <w:name w:val="toc 3"/>
    <w:basedOn w:val="1"/>
    <w:next w:val="1"/>
    <w:qFormat/>
    <w:uiPriority w:val="39"/>
    <w:pPr>
      <w:ind w:left="420"/>
      <w:jc w:val="left"/>
    </w:pPr>
    <w:rPr>
      <w:rFonts w:ascii="Calibri" w:hAnsi="Calibri"/>
      <w:i/>
      <w:iCs/>
      <w:sz w:val="20"/>
    </w:rPr>
  </w:style>
  <w:style w:type="paragraph" w:styleId="14">
    <w:name w:val="toc 8"/>
    <w:basedOn w:val="1"/>
    <w:next w:val="1"/>
    <w:unhideWhenUsed/>
    <w:qFormat/>
    <w:uiPriority w:val="39"/>
    <w:pPr>
      <w:spacing w:line="240" w:lineRule="auto"/>
      <w:ind w:left="2940" w:leftChars="1400" w:firstLine="0" w:firstLineChars="0"/>
    </w:pPr>
    <w:rPr>
      <w:rFonts w:ascii="Calibri" w:hAnsi="Calibri" w:eastAsia="宋体" w:cs="Times New Roman"/>
      <w:kern w:val="2"/>
      <w:sz w:val="21"/>
      <w:szCs w:val="22"/>
    </w:rPr>
  </w:style>
  <w:style w:type="paragraph" w:styleId="15">
    <w:name w:val="Body Text Indent 2"/>
    <w:basedOn w:val="1"/>
    <w:link w:val="55"/>
    <w:qFormat/>
    <w:uiPriority w:val="0"/>
    <w:pPr>
      <w:ind w:firstLine="630"/>
    </w:pPr>
    <w:rPr>
      <w:rFonts w:ascii="Times New Roman"/>
      <w:kern w:val="2"/>
      <w:sz w:val="32"/>
    </w:rPr>
  </w:style>
  <w:style w:type="paragraph" w:styleId="16">
    <w:name w:val="Balloon Text"/>
    <w:basedOn w:val="1"/>
    <w:link w:val="56"/>
    <w:unhideWhenUsed/>
    <w:qFormat/>
    <w:uiPriority w:val="99"/>
    <w:pPr>
      <w:spacing w:line="240" w:lineRule="auto"/>
    </w:pPr>
    <w:rPr>
      <w:sz w:val="18"/>
      <w:szCs w:val="18"/>
    </w:rPr>
  </w:style>
  <w:style w:type="paragraph" w:styleId="17">
    <w:name w:val="footer"/>
    <w:basedOn w:val="1"/>
    <w:link w:val="57"/>
    <w:qFormat/>
    <w:uiPriority w:val="99"/>
    <w:pPr>
      <w:tabs>
        <w:tab w:val="center" w:pos="4153"/>
        <w:tab w:val="right" w:pos="8306"/>
      </w:tabs>
      <w:snapToGrid w:val="0"/>
      <w:jc w:val="left"/>
    </w:pPr>
    <w:rPr>
      <w:rFonts w:ascii="Times New Roman"/>
      <w:kern w:val="2"/>
      <w:sz w:val="18"/>
      <w:szCs w:val="18"/>
    </w:rPr>
  </w:style>
  <w:style w:type="paragraph" w:styleId="18">
    <w:name w:val="header"/>
    <w:basedOn w:val="1"/>
    <w:link w:val="65"/>
    <w:qFormat/>
    <w:uiPriority w:val="0"/>
    <w:pPr>
      <w:pBdr>
        <w:bottom w:val="single" w:color="auto" w:sz="6" w:space="1"/>
      </w:pBdr>
      <w:tabs>
        <w:tab w:val="center" w:pos="4153"/>
        <w:tab w:val="right" w:pos="8306"/>
      </w:tabs>
      <w:snapToGrid w:val="0"/>
      <w:jc w:val="center"/>
    </w:pPr>
    <w:rPr>
      <w:rFonts w:ascii="Times New Roman"/>
      <w:kern w:val="2"/>
      <w:sz w:val="18"/>
    </w:rPr>
  </w:style>
  <w:style w:type="paragraph" w:styleId="19">
    <w:name w:val="toc 1"/>
    <w:basedOn w:val="1"/>
    <w:next w:val="1"/>
    <w:unhideWhenUsed/>
    <w:qFormat/>
    <w:uiPriority w:val="39"/>
    <w:pPr>
      <w:tabs>
        <w:tab w:val="right" w:leader="dot" w:pos="8296"/>
      </w:tabs>
      <w:spacing w:before="120" w:after="120"/>
      <w:jc w:val="center"/>
    </w:pPr>
    <w:rPr>
      <w:b/>
      <w:bCs/>
      <w:caps/>
      <w:sz w:val="20"/>
    </w:rPr>
  </w:style>
  <w:style w:type="paragraph" w:styleId="20">
    <w:name w:val="toc 4"/>
    <w:basedOn w:val="1"/>
    <w:next w:val="1"/>
    <w:unhideWhenUsed/>
    <w:qFormat/>
    <w:uiPriority w:val="39"/>
    <w:pPr>
      <w:spacing w:line="240" w:lineRule="auto"/>
      <w:ind w:left="1260" w:leftChars="600" w:firstLine="0" w:firstLineChars="0"/>
    </w:pPr>
    <w:rPr>
      <w:rFonts w:ascii="Calibri" w:hAnsi="Calibri" w:eastAsia="宋体" w:cs="Times New Roman"/>
      <w:kern w:val="2"/>
      <w:sz w:val="21"/>
      <w:szCs w:val="22"/>
    </w:rPr>
  </w:style>
  <w:style w:type="paragraph" w:styleId="21">
    <w:name w:val="Subtitle"/>
    <w:basedOn w:val="1"/>
    <w:next w:val="1"/>
    <w:link w:val="59"/>
    <w:qFormat/>
    <w:uiPriority w:val="11"/>
    <w:pPr>
      <w:spacing w:before="240" w:after="60" w:line="312" w:lineRule="auto"/>
      <w:jc w:val="center"/>
      <w:outlineLvl w:val="1"/>
    </w:pPr>
    <w:rPr>
      <w:rFonts w:ascii="Cambria" w:hAnsi="Cambria"/>
      <w:b/>
      <w:bCs/>
      <w:kern w:val="28"/>
      <w:sz w:val="32"/>
      <w:szCs w:val="32"/>
    </w:rPr>
  </w:style>
  <w:style w:type="paragraph" w:styleId="22">
    <w:name w:val="toc 6"/>
    <w:basedOn w:val="1"/>
    <w:next w:val="1"/>
    <w:unhideWhenUsed/>
    <w:qFormat/>
    <w:uiPriority w:val="39"/>
    <w:pPr>
      <w:spacing w:line="240" w:lineRule="auto"/>
      <w:ind w:left="2100" w:leftChars="1000" w:firstLine="0" w:firstLineChars="0"/>
    </w:pPr>
    <w:rPr>
      <w:rFonts w:ascii="Calibri" w:hAnsi="Calibri" w:eastAsia="宋体" w:cs="Times New Roman"/>
      <w:kern w:val="2"/>
      <w:sz w:val="21"/>
      <w:szCs w:val="22"/>
    </w:rPr>
  </w:style>
  <w:style w:type="paragraph" w:styleId="23">
    <w:name w:val="toc 2"/>
    <w:basedOn w:val="1"/>
    <w:next w:val="1"/>
    <w:qFormat/>
    <w:uiPriority w:val="39"/>
    <w:pPr>
      <w:ind w:left="420" w:leftChars="200"/>
    </w:pPr>
  </w:style>
  <w:style w:type="paragraph" w:styleId="24">
    <w:name w:val="toc 9"/>
    <w:basedOn w:val="1"/>
    <w:next w:val="1"/>
    <w:unhideWhenUsed/>
    <w:qFormat/>
    <w:uiPriority w:val="39"/>
    <w:pPr>
      <w:spacing w:line="240" w:lineRule="auto"/>
      <w:ind w:left="3360" w:leftChars="1600" w:firstLine="0" w:firstLineChars="0"/>
    </w:pPr>
    <w:rPr>
      <w:rFonts w:ascii="Calibri" w:hAnsi="Calibri" w:eastAsia="宋体" w:cs="Times New Roman"/>
      <w:kern w:val="2"/>
      <w:sz w:val="21"/>
      <w:szCs w:val="22"/>
    </w:rPr>
  </w:style>
  <w:style w:type="paragraph" w:styleId="25">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6">
    <w:name w:val="Normal (Web)"/>
    <w:basedOn w:val="1"/>
    <w:qFormat/>
    <w:uiPriority w:val="0"/>
    <w:pPr>
      <w:widowControl/>
      <w:spacing w:before="100" w:beforeAutospacing="1" w:after="100" w:afterAutospacing="1"/>
      <w:jc w:val="left"/>
    </w:pPr>
    <w:rPr>
      <w:rFonts w:hAnsi="宋体"/>
      <w:sz w:val="18"/>
    </w:rPr>
  </w:style>
  <w:style w:type="paragraph" w:styleId="27">
    <w:name w:val="Title"/>
    <w:basedOn w:val="1"/>
    <w:next w:val="1"/>
    <w:link w:val="60"/>
    <w:qFormat/>
    <w:uiPriority w:val="99"/>
    <w:pPr>
      <w:spacing w:before="240" w:after="60"/>
      <w:jc w:val="center"/>
      <w:outlineLvl w:val="0"/>
    </w:pPr>
    <w:rPr>
      <w:rFonts w:ascii="Cambria" w:hAnsi="Cambria"/>
      <w:b/>
      <w:bCs/>
      <w:kern w:val="2"/>
      <w:sz w:val="32"/>
      <w:szCs w:val="32"/>
    </w:rPr>
  </w:style>
  <w:style w:type="paragraph" w:styleId="28">
    <w:name w:val="annotation subject"/>
    <w:basedOn w:val="9"/>
    <w:next w:val="9"/>
    <w:link w:val="61"/>
    <w:unhideWhenUsed/>
    <w:qFormat/>
    <w:uiPriority w:val="99"/>
    <w:rPr>
      <w:b/>
      <w:bCs/>
    </w:rPr>
  </w:style>
  <w:style w:type="paragraph" w:styleId="29">
    <w:name w:val="Body Text First Indent"/>
    <w:basedOn w:val="10"/>
    <w:link w:val="62"/>
    <w:unhideWhenUsed/>
    <w:qFormat/>
    <w:uiPriority w:val="99"/>
    <w:pPr>
      <w:ind w:firstLine="420" w:firstLineChars="100"/>
    </w:pPr>
  </w:style>
  <w:style w:type="paragraph" w:styleId="30">
    <w:name w:val="Body Text First Indent 2"/>
    <w:basedOn w:val="11"/>
    <w:next w:val="29"/>
    <w:link w:val="63"/>
    <w:qFormat/>
    <w:uiPriority w:val="99"/>
    <w:pPr>
      <w:spacing w:afterLines="50" w:line="360" w:lineRule="exact"/>
      <w:ind w:firstLine="420"/>
    </w:pPr>
    <w:rPr>
      <w:rFonts w:hint="eastAsia" w:hAnsi="宋体"/>
      <w:sz w:val="24"/>
      <w:szCs w:val="24"/>
    </w:rPr>
  </w:style>
  <w:style w:type="table" w:styleId="32">
    <w:name w:val="Table Grid"/>
    <w:basedOn w:val="31"/>
    <w:qFormat/>
    <w:uiPriority w:val="0"/>
    <w:rPr>
      <w:rFonts w:ascii="等线" w:hAnsi="等线" w:eastAsia="等线" w:cs="等线"/>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34">
    <w:name w:val="Strong"/>
    <w:qFormat/>
    <w:uiPriority w:val="22"/>
    <w:rPr>
      <w:b/>
    </w:rPr>
  </w:style>
  <w:style w:type="character" w:styleId="35">
    <w:name w:val="page number"/>
    <w:qFormat/>
    <w:uiPriority w:val="0"/>
  </w:style>
  <w:style w:type="character" w:styleId="36">
    <w:name w:val="FollowedHyperlink"/>
    <w:unhideWhenUsed/>
    <w:qFormat/>
    <w:uiPriority w:val="99"/>
    <w:rPr>
      <w:color w:val="333333"/>
      <w:u w:val="none"/>
    </w:rPr>
  </w:style>
  <w:style w:type="character" w:styleId="37">
    <w:name w:val="Emphasis"/>
    <w:qFormat/>
    <w:uiPriority w:val="20"/>
  </w:style>
  <w:style w:type="character" w:styleId="38">
    <w:name w:val="HTML Definition"/>
    <w:unhideWhenUsed/>
    <w:qFormat/>
    <w:uiPriority w:val="99"/>
  </w:style>
  <w:style w:type="character" w:styleId="39">
    <w:name w:val="HTML Variable"/>
    <w:unhideWhenUsed/>
    <w:qFormat/>
    <w:uiPriority w:val="99"/>
  </w:style>
  <w:style w:type="character" w:styleId="40">
    <w:name w:val="Hyperlink"/>
    <w:qFormat/>
    <w:uiPriority w:val="99"/>
    <w:rPr>
      <w:color w:val="555555"/>
      <w:u w:val="none"/>
    </w:rPr>
  </w:style>
  <w:style w:type="character" w:styleId="41">
    <w:name w:val="HTML Code"/>
    <w:unhideWhenUsed/>
    <w:qFormat/>
    <w:uiPriority w:val="99"/>
    <w:rPr>
      <w:rFonts w:ascii="Courier New" w:hAnsi="Courier New"/>
      <w:sz w:val="20"/>
    </w:rPr>
  </w:style>
  <w:style w:type="character" w:styleId="42">
    <w:name w:val="annotation reference"/>
    <w:basedOn w:val="33"/>
    <w:unhideWhenUsed/>
    <w:qFormat/>
    <w:uiPriority w:val="99"/>
    <w:rPr>
      <w:sz w:val="21"/>
      <w:szCs w:val="21"/>
    </w:rPr>
  </w:style>
  <w:style w:type="character" w:styleId="43">
    <w:name w:val="HTML Cite"/>
    <w:unhideWhenUsed/>
    <w:qFormat/>
    <w:uiPriority w:val="99"/>
  </w:style>
  <w:style w:type="paragraph" w:customStyle="1" w:styleId="44">
    <w:name w:val="Default"/>
    <w:qFormat/>
    <w:uiPriority w:val="0"/>
    <w:pPr>
      <w:widowControl w:val="0"/>
      <w:autoSpaceDE w:val="0"/>
      <w:autoSpaceDN w:val="0"/>
      <w:adjustRightInd w:val="0"/>
    </w:pPr>
    <w:rPr>
      <w:rFonts w:ascii="楷体à.ā" w:hAnsi="等线" w:eastAsia="楷体à.ā" w:cs="等线"/>
      <w:color w:val="000000"/>
      <w:sz w:val="24"/>
      <w:szCs w:val="22"/>
      <w:lang w:val="en-US" w:eastAsia="zh-CN" w:bidi="ar-SA"/>
    </w:rPr>
  </w:style>
  <w:style w:type="paragraph" w:styleId="45">
    <w:name w:val="Quote"/>
    <w:basedOn w:val="1"/>
    <w:next w:val="1"/>
    <w:link w:val="52"/>
    <w:qFormat/>
    <w:uiPriority w:val="0"/>
    <w:pPr>
      <w:wordWrap w:val="0"/>
      <w:spacing w:before="200" w:after="160"/>
      <w:ind w:left="864" w:right="864"/>
      <w:jc w:val="center"/>
    </w:pPr>
    <w:rPr>
      <w:i/>
      <w:sz w:val="21"/>
    </w:rPr>
  </w:style>
  <w:style w:type="character" w:customStyle="1" w:styleId="46">
    <w:name w:val="标题 1 Char"/>
    <w:basedOn w:val="33"/>
    <w:link w:val="2"/>
    <w:qFormat/>
    <w:uiPriority w:val="0"/>
    <w:rPr>
      <w:rFonts w:ascii="宋体" w:hAnsi="等线" w:eastAsia="等线" w:cs="等线"/>
      <w:b/>
      <w:bCs/>
      <w:kern w:val="44"/>
      <w:sz w:val="44"/>
      <w:szCs w:val="44"/>
    </w:rPr>
  </w:style>
  <w:style w:type="character" w:customStyle="1" w:styleId="47">
    <w:name w:val="标题 2 Char"/>
    <w:basedOn w:val="33"/>
    <w:link w:val="3"/>
    <w:qFormat/>
    <w:uiPriority w:val="0"/>
    <w:rPr>
      <w:rFonts w:ascii="Arial" w:hAnsi="Arial" w:eastAsia="黑体" w:cs="等线"/>
      <w:b/>
      <w:sz w:val="28"/>
      <w:szCs w:val="20"/>
    </w:rPr>
  </w:style>
  <w:style w:type="character" w:customStyle="1" w:styleId="48">
    <w:name w:val="标题 3 Char"/>
    <w:basedOn w:val="33"/>
    <w:link w:val="4"/>
    <w:qFormat/>
    <w:uiPriority w:val="0"/>
    <w:rPr>
      <w:rFonts w:ascii="Times New Roman" w:hAnsi="等线" w:eastAsia="等线" w:cs="等线"/>
      <w:b/>
      <w:sz w:val="24"/>
      <w:szCs w:val="20"/>
    </w:rPr>
  </w:style>
  <w:style w:type="character" w:customStyle="1" w:styleId="49">
    <w:name w:val="标题 4 Char"/>
    <w:basedOn w:val="33"/>
    <w:link w:val="5"/>
    <w:qFormat/>
    <w:uiPriority w:val="0"/>
    <w:rPr>
      <w:rFonts w:ascii="Cambria" w:hAnsi="Cambria" w:eastAsia="等线" w:cs="等线"/>
      <w:b/>
      <w:bCs/>
      <w:sz w:val="28"/>
      <w:szCs w:val="28"/>
    </w:rPr>
  </w:style>
  <w:style w:type="character" w:customStyle="1" w:styleId="50">
    <w:name w:val="批注文字 Char"/>
    <w:basedOn w:val="33"/>
    <w:link w:val="9"/>
    <w:qFormat/>
    <w:uiPriority w:val="99"/>
    <w:rPr>
      <w:rFonts w:ascii="宋体" w:hAnsi="等线" w:eastAsia="等线" w:cs="等线"/>
      <w:kern w:val="0"/>
      <w:sz w:val="34"/>
      <w:szCs w:val="20"/>
    </w:rPr>
  </w:style>
  <w:style w:type="character" w:customStyle="1" w:styleId="51">
    <w:name w:val="正文文本 Char"/>
    <w:basedOn w:val="33"/>
    <w:link w:val="10"/>
    <w:qFormat/>
    <w:uiPriority w:val="0"/>
    <w:rPr>
      <w:rFonts w:ascii="Times New Roman" w:hAnsi="等线" w:eastAsia="等线" w:cs="等线"/>
      <w:szCs w:val="24"/>
    </w:rPr>
  </w:style>
  <w:style w:type="character" w:customStyle="1" w:styleId="52">
    <w:name w:val="引用 Char"/>
    <w:basedOn w:val="33"/>
    <w:link w:val="45"/>
    <w:qFormat/>
    <w:uiPriority w:val="0"/>
    <w:rPr>
      <w:rFonts w:ascii="宋体" w:hAnsi="等线" w:eastAsia="等线" w:cs="等线"/>
      <w:i/>
      <w:kern w:val="0"/>
      <w:szCs w:val="20"/>
    </w:rPr>
  </w:style>
  <w:style w:type="character" w:customStyle="1" w:styleId="53">
    <w:name w:val="正文文本缩进 Char"/>
    <w:basedOn w:val="33"/>
    <w:link w:val="11"/>
    <w:qFormat/>
    <w:uiPriority w:val="0"/>
    <w:rPr>
      <w:rFonts w:ascii="宋体" w:hAnsi="等线" w:eastAsia="等线" w:cs="等线"/>
      <w:kern w:val="0"/>
      <w:sz w:val="32"/>
      <w:szCs w:val="20"/>
    </w:rPr>
  </w:style>
  <w:style w:type="character" w:customStyle="1" w:styleId="54">
    <w:name w:val="纯文本 Char"/>
    <w:basedOn w:val="33"/>
    <w:link w:val="8"/>
    <w:qFormat/>
    <w:uiPriority w:val="0"/>
    <w:rPr>
      <w:rFonts w:ascii="宋体" w:hAnsi="Courier New" w:eastAsia="等线" w:cs="等线"/>
      <w:szCs w:val="20"/>
    </w:rPr>
  </w:style>
  <w:style w:type="character" w:customStyle="1" w:styleId="55">
    <w:name w:val="正文文本缩进 2 Char"/>
    <w:basedOn w:val="33"/>
    <w:link w:val="15"/>
    <w:qFormat/>
    <w:uiPriority w:val="0"/>
    <w:rPr>
      <w:rFonts w:ascii="Times New Roman" w:hAnsi="等线" w:eastAsia="等线" w:cs="等线"/>
      <w:sz w:val="32"/>
      <w:szCs w:val="20"/>
    </w:rPr>
  </w:style>
  <w:style w:type="character" w:customStyle="1" w:styleId="56">
    <w:name w:val="批注框文本 Char"/>
    <w:basedOn w:val="33"/>
    <w:link w:val="16"/>
    <w:qFormat/>
    <w:uiPriority w:val="99"/>
    <w:rPr>
      <w:rFonts w:ascii="宋体" w:hAnsi="等线" w:eastAsia="等线" w:cs="等线"/>
      <w:kern w:val="0"/>
      <w:sz w:val="18"/>
      <w:szCs w:val="18"/>
    </w:rPr>
  </w:style>
  <w:style w:type="character" w:customStyle="1" w:styleId="57">
    <w:name w:val="页脚 Char"/>
    <w:basedOn w:val="33"/>
    <w:link w:val="17"/>
    <w:qFormat/>
    <w:uiPriority w:val="99"/>
    <w:rPr>
      <w:rFonts w:ascii="Times New Roman" w:hAnsi="等线" w:eastAsia="等线" w:cs="等线"/>
      <w:sz w:val="18"/>
      <w:szCs w:val="18"/>
    </w:rPr>
  </w:style>
  <w:style w:type="character" w:customStyle="1" w:styleId="58">
    <w:name w:val="页眉 Char"/>
    <w:basedOn w:val="33"/>
    <w:qFormat/>
    <w:uiPriority w:val="0"/>
    <w:rPr>
      <w:rFonts w:ascii="宋体" w:hAnsi="等线" w:eastAsia="等线" w:cs="等线"/>
      <w:kern w:val="0"/>
      <w:sz w:val="18"/>
      <w:szCs w:val="18"/>
    </w:rPr>
  </w:style>
  <w:style w:type="character" w:customStyle="1" w:styleId="59">
    <w:name w:val="副标题 Char"/>
    <w:basedOn w:val="33"/>
    <w:link w:val="21"/>
    <w:qFormat/>
    <w:uiPriority w:val="11"/>
    <w:rPr>
      <w:rFonts w:ascii="Cambria" w:hAnsi="Cambria" w:eastAsia="等线" w:cs="等线"/>
      <w:b/>
      <w:bCs/>
      <w:kern w:val="28"/>
      <w:sz w:val="32"/>
      <w:szCs w:val="32"/>
    </w:rPr>
  </w:style>
  <w:style w:type="character" w:customStyle="1" w:styleId="60">
    <w:name w:val="标题 Char"/>
    <w:basedOn w:val="33"/>
    <w:link w:val="27"/>
    <w:qFormat/>
    <w:uiPriority w:val="99"/>
    <w:rPr>
      <w:rFonts w:ascii="Cambria" w:hAnsi="Cambria" w:eastAsia="等线" w:cs="等线"/>
      <w:b/>
      <w:bCs/>
      <w:sz w:val="32"/>
      <w:szCs w:val="32"/>
    </w:rPr>
  </w:style>
  <w:style w:type="character" w:customStyle="1" w:styleId="61">
    <w:name w:val="批注主题 Char"/>
    <w:basedOn w:val="50"/>
    <w:link w:val="28"/>
    <w:qFormat/>
    <w:uiPriority w:val="99"/>
    <w:rPr>
      <w:rFonts w:ascii="宋体" w:hAnsi="等线" w:eastAsia="等线" w:cs="等线"/>
      <w:b/>
      <w:bCs/>
      <w:kern w:val="0"/>
      <w:sz w:val="34"/>
      <w:szCs w:val="20"/>
    </w:rPr>
  </w:style>
  <w:style w:type="character" w:customStyle="1" w:styleId="62">
    <w:name w:val="正文首行缩进 Char"/>
    <w:basedOn w:val="51"/>
    <w:link w:val="29"/>
    <w:qFormat/>
    <w:uiPriority w:val="99"/>
    <w:rPr>
      <w:rFonts w:ascii="Times New Roman" w:hAnsi="等线" w:eastAsia="等线" w:cs="等线"/>
      <w:szCs w:val="24"/>
    </w:rPr>
  </w:style>
  <w:style w:type="character" w:customStyle="1" w:styleId="63">
    <w:name w:val="正文首行缩进 2 Char"/>
    <w:basedOn w:val="53"/>
    <w:link w:val="30"/>
    <w:qFormat/>
    <w:uiPriority w:val="99"/>
    <w:rPr>
      <w:rFonts w:ascii="宋体" w:hAnsi="宋体" w:eastAsia="等线" w:cs="等线"/>
      <w:kern w:val="0"/>
      <w:sz w:val="24"/>
      <w:szCs w:val="24"/>
    </w:rPr>
  </w:style>
  <w:style w:type="character" w:customStyle="1" w:styleId="64">
    <w:name w:val="正文缩进 Char2"/>
    <w:link w:val="7"/>
    <w:qFormat/>
    <w:uiPriority w:val="0"/>
    <w:rPr>
      <w:rFonts w:ascii="Times New Roman" w:hAnsi="等线" w:eastAsia="等线" w:cs="等线"/>
      <w:szCs w:val="20"/>
    </w:rPr>
  </w:style>
  <w:style w:type="character" w:customStyle="1" w:styleId="65">
    <w:name w:val="页眉 Char1"/>
    <w:link w:val="18"/>
    <w:qFormat/>
    <w:uiPriority w:val="0"/>
    <w:rPr>
      <w:rFonts w:ascii="Times New Roman" w:hAnsi="等线" w:eastAsia="等线" w:cs="等线"/>
      <w:sz w:val="18"/>
      <w:szCs w:val="20"/>
    </w:rPr>
  </w:style>
  <w:style w:type="character" w:customStyle="1" w:styleId="66">
    <w:name w:val="样式 宋体 小四"/>
    <w:qFormat/>
    <w:uiPriority w:val="0"/>
    <w:rPr>
      <w:sz w:val="24"/>
    </w:rPr>
  </w:style>
  <w:style w:type="character" w:customStyle="1" w:styleId="67">
    <w:name w:val="label"/>
    <w:qFormat/>
    <w:uiPriority w:val="0"/>
    <w:rPr>
      <w:color w:val="555555"/>
    </w:rPr>
  </w:style>
  <w:style w:type="character" w:customStyle="1" w:styleId="68">
    <w:name w:val="正文首行缩进两字符 Char"/>
    <w:link w:val="69"/>
    <w:qFormat/>
    <w:uiPriority w:val="0"/>
    <w:rPr>
      <w:rFonts w:eastAsia="宋体"/>
    </w:rPr>
  </w:style>
  <w:style w:type="paragraph" w:customStyle="1" w:styleId="69">
    <w:name w:val="正文首行缩进两字符"/>
    <w:basedOn w:val="1"/>
    <w:link w:val="68"/>
    <w:qFormat/>
    <w:uiPriority w:val="0"/>
    <w:rPr>
      <w:rFonts w:eastAsia="宋体" w:asciiTheme="minorHAnsi" w:hAnsiTheme="minorHAnsi" w:cstheme="minorBidi"/>
      <w:kern w:val="2"/>
      <w:sz w:val="21"/>
      <w:szCs w:val="22"/>
    </w:rPr>
  </w:style>
  <w:style w:type="character" w:customStyle="1" w:styleId="70">
    <w:name w:val="纯文本 字符"/>
    <w:qFormat/>
    <w:uiPriority w:val="0"/>
    <w:rPr>
      <w:rFonts w:ascii="宋体" w:hAnsi="Courier New"/>
      <w:kern w:val="2"/>
      <w:sz w:val="21"/>
    </w:rPr>
  </w:style>
  <w:style w:type="character" w:customStyle="1" w:styleId="71">
    <w:name w:val="modifier"/>
    <w:qFormat/>
    <w:uiPriority w:val="0"/>
    <w:rPr>
      <w:color w:val="FF0000"/>
    </w:rPr>
  </w:style>
  <w:style w:type="character" w:customStyle="1" w:styleId="72">
    <w:name w:val="15"/>
    <w:qFormat/>
    <w:uiPriority w:val="0"/>
    <w:rPr>
      <w:rFonts w:hint="default" w:ascii="??¨¬?" w:hAnsi="??¨¬?" w:eastAsia="??¨¬?" w:cs="??¨¬?"/>
      <w:sz w:val="22"/>
      <w:szCs w:val="22"/>
    </w:rPr>
  </w:style>
  <w:style w:type="character" w:customStyle="1" w:styleId="73">
    <w:name w:val="正文缩进 Char1"/>
    <w:qFormat/>
    <w:uiPriority w:val="0"/>
    <w:rPr>
      <w:rFonts w:eastAsia="宋体"/>
      <w:kern w:val="2"/>
      <w:sz w:val="21"/>
      <w:lang w:val="en-US" w:eastAsia="zh-CN" w:bidi="ar-SA"/>
    </w:rPr>
  </w:style>
  <w:style w:type="character" w:customStyle="1" w:styleId="74">
    <w:name w:val="Body Char"/>
    <w:link w:val="75"/>
    <w:qFormat/>
    <w:uiPriority w:val="0"/>
    <w:rPr>
      <w:sz w:val="28"/>
      <w:szCs w:val="28"/>
    </w:rPr>
  </w:style>
  <w:style w:type="paragraph" w:customStyle="1" w:styleId="75">
    <w:name w:val="Body"/>
    <w:basedOn w:val="1"/>
    <w:link w:val="74"/>
    <w:qFormat/>
    <w:uiPriority w:val="0"/>
    <w:pPr>
      <w:widowControl/>
      <w:tabs>
        <w:tab w:val="left" w:pos="9356"/>
      </w:tabs>
      <w:spacing w:before="80" w:after="80" w:line="288" w:lineRule="auto"/>
      <w:ind w:firstLine="560"/>
    </w:pPr>
    <w:rPr>
      <w:rFonts w:asciiTheme="minorHAnsi" w:hAnsiTheme="minorHAnsi" w:eastAsiaTheme="minorEastAsia" w:cstheme="minorBidi"/>
      <w:kern w:val="2"/>
      <w:sz w:val="28"/>
      <w:szCs w:val="28"/>
    </w:rPr>
  </w:style>
  <w:style w:type="character" w:customStyle="1" w:styleId="76">
    <w:name w:val="font01"/>
    <w:qFormat/>
    <w:uiPriority w:val="0"/>
    <w:rPr>
      <w:rFonts w:hint="eastAsia" w:ascii="宋体" w:hAnsi="宋体" w:eastAsia="宋体" w:cs="宋体"/>
      <w:color w:val="000000"/>
      <w:sz w:val="24"/>
      <w:szCs w:val="24"/>
      <w:u w:val="none"/>
    </w:rPr>
  </w:style>
  <w:style w:type="character" w:customStyle="1" w:styleId="77">
    <w:name w:val="正文缩进 Char"/>
    <w:qFormat/>
    <w:uiPriority w:val="0"/>
    <w:rPr>
      <w:rFonts w:eastAsia="宋体"/>
      <w:szCs w:val="24"/>
    </w:rPr>
  </w:style>
  <w:style w:type="character" w:customStyle="1" w:styleId="78">
    <w:name w:val="正文缩进 字符"/>
    <w:qFormat/>
    <w:uiPriority w:val="0"/>
    <w:rPr>
      <w:kern w:val="2"/>
      <w:sz w:val="21"/>
      <w:szCs w:val="24"/>
    </w:rPr>
  </w:style>
  <w:style w:type="character" w:customStyle="1" w:styleId="79">
    <w:name w:val="列出段落 Char"/>
    <w:link w:val="80"/>
    <w:qFormat/>
    <w:uiPriority w:val="0"/>
    <w:rPr>
      <w:rFonts w:ascii="Calibri" w:hAnsi="Calibri"/>
      <w:sz w:val="34"/>
    </w:rPr>
  </w:style>
  <w:style w:type="paragraph" w:styleId="80">
    <w:name w:val="List Paragraph"/>
    <w:basedOn w:val="1"/>
    <w:link w:val="79"/>
    <w:qFormat/>
    <w:uiPriority w:val="0"/>
    <w:pPr>
      <w:ind w:firstLine="420"/>
    </w:pPr>
    <w:rPr>
      <w:rFonts w:ascii="Calibri" w:hAnsi="Calibri" w:eastAsiaTheme="minorEastAsia" w:cstheme="minorBidi"/>
      <w:kern w:val="2"/>
      <w:szCs w:val="22"/>
    </w:rPr>
  </w:style>
  <w:style w:type="character" w:customStyle="1" w:styleId="81">
    <w:name w:val="标题 Char1"/>
    <w:qFormat/>
    <w:uiPriority w:val="10"/>
    <w:rPr>
      <w:rFonts w:ascii="Cambria" w:hAnsi="Cambria" w:eastAsia="宋体" w:cs="Times New Roman"/>
      <w:b/>
      <w:bCs/>
      <w:kern w:val="0"/>
      <w:sz w:val="32"/>
      <w:szCs w:val="32"/>
    </w:rPr>
  </w:style>
  <w:style w:type="paragraph" w:customStyle="1" w:styleId="82">
    <w:name w:val="列表段落1"/>
    <w:basedOn w:val="1"/>
    <w:qFormat/>
    <w:uiPriority w:val="0"/>
    <w:pPr>
      <w:ind w:firstLine="420"/>
    </w:pPr>
    <w:rPr>
      <w:rFonts w:ascii="Calibri" w:hAnsi="Calibri"/>
      <w:szCs w:val="22"/>
    </w:rPr>
  </w:style>
  <w:style w:type="paragraph" w:customStyle="1" w:styleId="83">
    <w:name w:val="_Style 76"/>
    <w:unhideWhenUsed/>
    <w:qFormat/>
    <w:uiPriority w:val="99"/>
    <w:rPr>
      <w:rFonts w:ascii="宋体" w:hAnsi="等线" w:eastAsia="等线" w:cs="等线"/>
      <w:sz w:val="34"/>
      <w:lang w:val="en-US" w:eastAsia="zh-CN" w:bidi="ar-SA"/>
    </w:rPr>
  </w:style>
  <w:style w:type="paragraph" w:customStyle="1" w:styleId="84">
    <w:name w:val="正文1"/>
    <w:qFormat/>
    <w:uiPriority w:val="0"/>
    <w:pPr>
      <w:widowControl w:val="0"/>
      <w:adjustRightInd w:val="0"/>
      <w:spacing w:line="312" w:lineRule="atLeast"/>
      <w:ind w:firstLine="200" w:firstLineChars="200"/>
      <w:jc w:val="both"/>
      <w:textAlignment w:val="baseline"/>
    </w:pPr>
    <w:rPr>
      <w:rFonts w:ascii="宋体" w:hAnsi="等线" w:eastAsia="等线" w:cs="等线"/>
      <w:sz w:val="34"/>
      <w:lang w:val="en-US" w:eastAsia="zh-CN" w:bidi="ar-SA"/>
    </w:rPr>
  </w:style>
  <w:style w:type="paragraph" w:customStyle="1" w:styleId="85">
    <w:name w:val="_Style 6"/>
    <w:basedOn w:val="1"/>
    <w:qFormat/>
    <w:uiPriority w:val="0"/>
    <w:pPr>
      <w:ind w:firstLine="420"/>
    </w:pPr>
    <w:rPr>
      <w:rFonts w:ascii="Calibri" w:hAnsi="Calibri" w:eastAsia="宋体" w:cs="Times New Roman"/>
      <w:szCs w:val="22"/>
    </w:rPr>
  </w:style>
  <w:style w:type="paragraph" w:customStyle="1" w:styleId="86">
    <w:name w:val="页眉与页脚"/>
    <w:qFormat/>
    <w:uiPriority w:val="0"/>
    <w:pPr>
      <w:tabs>
        <w:tab w:val="right" w:pos="9020"/>
      </w:tabs>
    </w:pPr>
    <w:rPr>
      <w:rFonts w:ascii="Helvetica" w:hAnsi="Arial Unicode MS" w:eastAsia="Arial Unicode MS" w:cs="Arial Unicode MS"/>
      <w:color w:val="000000"/>
      <w:sz w:val="24"/>
      <w:szCs w:val="24"/>
      <w:lang w:val="en-US" w:eastAsia="zh-CN" w:bidi="ar-SA"/>
    </w:rPr>
  </w:style>
  <w:style w:type="paragraph" w:customStyle="1" w:styleId="87">
    <w:name w:val="无间隔1"/>
    <w:qFormat/>
    <w:uiPriority w:val="0"/>
    <w:pPr>
      <w:widowControl w:val="0"/>
      <w:jc w:val="both"/>
    </w:pPr>
    <w:rPr>
      <w:rFonts w:ascii="等线" w:hAnsi="等线" w:eastAsia="等线" w:cs="等线"/>
      <w:kern w:val="2"/>
      <w:sz w:val="21"/>
      <w:szCs w:val="22"/>
      <w:lang w:val="en-US" w:eastAsia="zh-CN" w:bidi="ar-SA"/>
    </w:rPr>
  </w:style>
  <w:style w:type="paragraph" w:customStyle="1" w:styleId="88">
    <w:name w:val="文档正文"/>
    <w:basedOn w:val="1"/>
    <w:qFormat/>
    <w:uiPriority w:val="0"/>
    <w:pPr>
      <w:spacing w:line="440" w:lineRule="atLeast"/>
      <w:ind w:firstLine="567"/>
    </w:pPr>
    <w:rPr>
      <w:spacing w:val="4"/>
    </w:rPr>
  </w:style>
  <w:style w:type="paragraph" w:customStyle="1" w:styleId="89">
    <w:name w:val="标题 51"/>
    <w:basedOn w:val="1"/>
    <w:qFormat/>
    <w:uiPriority w:val="1"/>
    <w:pPr>
      <w:spacing w:line="240" w:lineRule="auto"/>
      <w:ind w:left="114" w:firstLine="0" w:firstLineChars="0"/>
      <w:jc w:val="left"/>
      <w:outlineLvl w:val="5"/>
    </w:pPr>
    <w:rPr>
      <w:rFonts w:hAnsi="宋体"/>
      <w:b/>
      <w:bCs/>
      <w:sz w:val="28"/>
      <w:szCs w:val="28"/>
      <w:lang w:eastAsia="en-US"/>
    </w:rPr>
  </w:style>
  <w:style w:type="paragraph" w:customStyle="1" w:styleId="90">
    <w:name w:val="样式 首行缩进:  2 字符"/>
    <w:basedOn w:val="1"/>
    <w:qFormat/>
    <w:uiPriority w:val="0"/>
    <w:pPr>
      <w:spacing w:line="400" w:lineRule="exact"/>
    </w:pPr>
    <w:rPr>
      <w:sz w:val="24"/>
    </w:rPr>
  </w:style>
  <w:style w:type="paragraph" w:customStyle="1" w:styleId="91">
    <w:name w:val="表格1"/>
    <w:basedOn w:val="1"/>
    <w:qFormat/>
    <w:uiPriority w:val="0"/>
    <w:pPr>
      <w:snapToGrid w:val="0"/>
      <w:ind w:left="150"/>
    </w:pPr>
    <w:rPr>
      <w:rFonts w:ascii="Calibri" w:hAnsi="宋体" w:eastAsia="仿宋" w:cs="Times New Roman"/>
      <w:kern w:val="2"/>
      <w:sz w:val="24"/>
      <w:szCs w:val="24"/>
    </w:rPr>
  </w:style>
  <w:style w:type="paragraph" w:customStyle="1" w:styleId="92">
    <w:name w:val="reader-word-layer reader-word-s4-1"/>
    <w:basedOn w:val="1"/>
    <w:qFormat/>
    <w:uiPriority w:val="0"/>
    <w:pPr>
      <w:widowControl/>
      <w:spacing w:before="100" w:beforeAutospacing="1" w:after="100" w:afterAutospacing="1"/>
      <w:jc w:val="left"/>
    </w:pPr>
    <w:rPr>
      <w:rFonts w:hAnsi="宋体" w:cs="宋体"/>
      <w:sz w:val="24"/>
    </w:rPr>
  </w:style>
  <w:style w:type="paragraph" w:customStyle="1" w:styleId="93">
    <w:name w:val="TableContent"/>
    <w:qFormat/>
    <w:uiPriority w:val="1"/>
    <w:pPr>
      <w:spacing w:before="40" w:after="40"/>
      <w:jc w:val="both"/>
    </w:pPr>
    <w:rPr>
      <w:rFonts w:ascii="Arial" w:hAnsi="Arial" w:eastAsia="等线" w:cs="等线"/>
      <w:kern w:val="44"/>
      <w:sz w:val="18"/>
      <w:szCs w:val="44"/>
      <w:lang w:val="en-US" w:eastAsia="zh-CN" w:bidi="ar-SA"/>
    </w:rPr>
  </w:style>
  <w:style w:type="paragraph" w:customStyle="1" w:styleId="94">
    <w:name w:val="样式"/>
    <w:qFormat/>
    <w:uiPriority w:val="0"/>
    <w:pPr>
      <w:widowControl w:val="0"/>
      <w:autoSpaceDE w:val="0"/>
      <w:autoSpaceDN w:val="0"/>
      <w:adjustRightInd w:val="0"/>
      <w:spacing w:line="360" w:lineRule="auto"/>
      <w:ind w:firstLine="200" w:firstLineChars="200"/>
    </w:pPr>
    <w:rPr>
      <w:rFonts w:ascii="宋体" w:hAnsi="宋体" w:eastAsia="等线" w:cs="等线"/>
      <w:sz w:val="24"/>
      <w:lang w:val="en-US" w:eastAsia="zh-CN" w:bidi="ar-SA"/>
    </w:rPr>
  </w:style>
  <w:style w:type="paragraph" w:customStyle="1" w:styleId="95">
    <w:name w:val="方正正文"/>
    <w:basedOn w:val="1"/>
    <w:qFormat/>
    <w:uiPriority w:val="0"/>
    <w:pPr>
      <w:snapToGrid w:val="0"/>
      <w:spacing w:line="319" w:lineRule="auto"/>
    </w:pPr>
    <w:rPr>
      <w:rFonts w:eastAsia="仿宋"/>
      <w:sz w:val="32"/>
    </w:rPr>
  </w:style>
  <w:style w:type="paragraph" w:customStyle="1" w:styleId="96">
    <w:name w:val="默认段落字体 Para Char"/>
    <w:basedOn w:val="1"/>
    <w:qFormat/>
    <w:uiPriority w:val="0"/>
    <w:pPr>
      <w:adjustRightInd w:val="0"/>
      <w:ind w:firstLine="0" w:firstLineChars="0"/>
    </w:pPr>
    <w:rPr>
      <w:sz w:val="24"/>
    </w:rPr>
  </w:style>
  <w:style w:type="paragraph" w:customStyle="1" w:styleId="97">
    <w:name w:val="reader-word-layer reader-word-s6-4"/>
    <w:basedOn w:val="1"/>
    <w:qFormat/>
    <w:uiPriority w:val="0"/>
    <w:pPr>
      <w:widowControl/>
      <w:spacing w:before="100" w:beforeAutospacing="1" w:after="100" w:afterAutospacing="1"/>
      <w:jc w:val="left"/>
    </w:pPr>
    <w:rPr>
      <w:rFonts w:hAnsi="宋体" w:cs="宋体"/>
      <w:sz w:val="24"/>
    </w:rPr>
  </w:style>
  <w:style w:type="paragraph" w:customStyle="1" w:styleId="98">
    <w:name w:val="nor"/>
    <w:basedOn w:val="1"/>
    <w:qFormat/>
    <w:uiPriority w:val="0"/>
    <w:pPr>
      <w:ind w:firstLine="640"/>
    </w:pPr>
    <w:rPr>
      <w:rFonts w:ascii="仿宋_GB2312" w:eastAsia="仿宋_GB2312"/>
      <w:sz w:val="32"/>
      <w:szCs w:val="32"/>
    </w:rPr>
  </w:style>
  <w:style w:type="paragraph" w:customStyle="1" w:styleId="99">
    <w:name w:val="reader-word-layer reader-word-s3-31"/>
    <w:basedOn w:val="1"/>
    <w:qFormat/>
    <w:uiPriority w:val="0"/>
    <w:pPr>
      <w:widowControl/>
      <w:spacing w:before="100" w:beforeAutospacing="1" w:after="100" w:afterAutospacing="1"/>
      <w:jc w:val="left"/>
    </w:pPr>
    <w:rPr>
      <w:rFonts w:hAnsi="宋体" w:cs="宋体"/>
      <w:sz w:val="24"/>
    </w:rPr>
  </w:style>
  <w:style w:type="paragraph" w:customStyle="1" w:styleId="100">
    <w:name w:val="样式 首行缩进:  0 字符"/>
    <w:basedOn w:val="1"/>
    <w:qFormat/>
    <w:uiPriority w:val="0"/>
    <w:pPr>
      <w:spacing w:line="240" w:lineRule="auto"/>
      <w:ind w:firstLine="0" w:firstLineChars="0"/>
    </w:pPr>
    <w:rPr>
      <w:rFonts w:ascii="Calibri" w:hAnsi="Calibri"/>
      <w:szCs w:val="22"/>
    </w:rPr>
  </w:style>
  <w:style w:type="paragraph" w:customStyle="1" w:styleId="101">
    <w:name w:val="reader-word-layer reader-word-s5-13"/>
    <w:basedOn w:val="1"/>
    <w:qFormat/>
    <w:uiPriority w:val="0"/>
    <w:pPr>
      <w:widowControl/>
      <w:spacing w:before="100" w:beforeAutospacing="1" w:after="100" w:afterAutospacing="1"/>
      <w:jc w:val="left"/>
    </w:pPr>
    <w:rPr>
      <w:rFonts w:hAnsi="宋体" w:cs="宋体"/>
      <w:sz w:val="24"/>
    </w:rPr>
  </w:style>
  <w:style w:type="paragraph" w:customStyle="1" w:styleId="102">
    <w:name w:val="正文 A"/>
    <w:next w:val="103"/>
    <w:qFormat/>
    <w:uiPriority w:val="0"/>
    <w:pPr>
      <w:widowControl w:val="0"/>
      <w:jc w:val="both"/>
    </w:pPr>
    <w:rPr>
      <w:rFonts w:ascii="等线" w:hAnsi="Arial Unicode MS" w:eastAsia="Arial Unicode MS" w:cs="Arial Unicode MS"/>
      <w:color w:val="000000"/>
      <w:kern w:val="2"/>
      <w:sz w:val="18"/>
      <w:szCs w:val="18"/>
      <w:lang w:val="en-US" w:eastAsia="zh-CN" w:bidi="ar-SA"/>
    </w:rPr>
  </w:style>
  <w:style w:type="paragraph" w:customStyle="1" w:styleId="103">
    <w:name w:val="正文文本1"/>
    <w:next w:val="102"/>
    <w:qFormat/>
    <w:uiPriority w:val="0"/>
    <w:pPr>
      <w:widowControl w:val="0"/>
      <w:spacing w:after="120"/>
      <w:jc w:val="both"/>
    </w:pPr>
    <w:rPr>
      <w:rFonts w:ascii="等线" w:hAnsi="等线" w:eastAsia="Times New Roman" w:cs="等线"/>
      <w:color w:val="000000"/>
      <w:kern w:val="2"/>
      <w:sz w:val="21"/>
      <w:szCs w:val="21"/>
      <w:u w:color="000000"/>
      <w:lang w:val="en-US" w:eastAsia="zh-CN" w:bidi="ar-SA"/>
    </w:rPr>
  </w:style>
  <w:style w:type="paragraph" w:customStyle="1" w:styleId="104">
    <w:name w:val="正文6"/>
    <w:basedOn w:val="1"/>
    <w:qFormat/>
    <w:uiPriority w:val="0"/>
    <w:pPr>
      <w:adjustRightInd w:val="0"/>
      <w:spacing w:line="312" w:lineRule="atLeast"/>
      <w:ind w:firstLine="0" w:firstLineChars="0"/>
      <w:textAlignment w:val="baseline"/>
    </w:pPr>
    <w:rPr>
      <w:rFonts w:hAnsi="Calibri"/>
      <w:szCs w:val="34"/>
    </w:rPr>
  </w:style>
  <w:style w:type="paragraph" w:customStyle="1" w:styleId="105">
    <w:name w:val="reader-word-layer reader-word-s4-2"/>
    <w:basedOn w:val="1"/>
    <w:qFormat/>
    <w:uiPriority w:val="0"/>
    <w:pPr>
      <w:widowControl/>
      <w:spacing w:before="100" w:beforeAutospacing="1" w:after="100" w:afterAutospacing="1"/>
      <w:jc w:val="left"/>
    </w:pPr>
    <w:rPr>
      <w:rFonts w:hAnsi="宋体" w:cs="宋体"/>
      <w:sz w:val="24"/>
    </w:rPr>
  </w:style>
  <w:style w:type="paragraph" w:customStyle="1" w:styleId="106">
    <w:name w:val="表格"/>
    <w:basedOn w:val="1"/>
    <w:qFormat/>
    <w:uiPriority w:val="0"/>
    <w:pPr>
      <w:spacing w:line="400" w:lineRule="exact"/>
    </w:pPr>
    <w:rPr>
      <w:sz w:val="24"/>
    </w:rPr>
  </w:style>
  <w:style w:type="paragraph" w:customStyle="1" w:styleId="107">
    <w:name w:val="Char Char Char Char Char Char Char Char Char Char Char Char Char Char1 Char Char Char Char"/>
    <w:basedOn w:val="1"/>
    <w:qFormat/>
    <w:uiPriority w:val="0"/>
    <w:pPr>
      <w:spacing w:line="240" w:lineRule="auto"/>
      <w:ind w:firstLine="0" w:firstLineChars="0"/>
    </w:pPr>
    <w:rPr>
      <w:szCs w:val="21"/>
    </w:rPr>
  </w:style>
  <w:style w:type="paragraph" w:customStyle="1" w:styleId="108">
    <w:name w:val="Table Paragraph"/>
    <w:basedOn w:val="1"/>
    <w:qFormat/>
    <w:uiPriority w:val="1"/>
    <w:pPr>
      <w:spacing w:line="240" w:lineRule="auto"/>
      <w:ind w:firstLine="0" w:firstLineChars="0"/>
      <w:jc w:val="left"/>
    </w:pPr>
    <w:rPr>
      <w:rFonts w:ascii="Calibri" w:hAnsi="Calibri"/>
      <w:sz w:val="22"/>
      <w:szCs w:val="22"/>
      <w:lang w:eastAsia="en-US"/>
    </w:rPr>
  </w:style>
  <w:style w:type="paragraph" w:customStyle="1" w:styleId="109">
    <w:name w:val="正文缩进HS-正文1"/>
    <w:basedOn w:val="1"/>
    <w:qFormat/>
    <w:uiPriority w:val="0"/>
    <w:pPr>
      <w:spacing w:line="240" w:lineRule="auto"/>
      <w:ind w:firstLine="0" w:firstLineChars="0"/>
      <w:jc w:val="center"/>
    </w:pPr>
    <w:rPr>
      <w:rFonts w:hAnsi="宋体"/>
      <w:color w:val="000000"/>
      <w:szCs w:val="21"/>
    </w:rPr>
  </w:style>
  <w:style w:type="paragraph" w:customStyle="1" w:styleId="110">
    <w:name w:val="样式3"/>
    <w:basedOn w:val="75"/>
    <w:qFormat/>
    <w:uiPriority w:val="0"/>
    <w:pPr>
      <w:ind w:left="540"/>
    </w:pPr>
    <w:rPr>
      <w:rFonts w:ascii="方正仿宋简体" w:eastAsia="方正仿宋简体"/>
    </w:rPr>
  </w:style>
  <w:style w:type="paragraph" w:customStyle="1" w:styleId="111">
    <w:name w:val="reader-word-layer reader-word-s1-12"/>
    <w:basedOn w:val="1"/>
    <w:qFormat/>
    <w:uiPriority w:val="0"/>
    <w:pPr>
      <w:widowControl/>
      <w:spacing w:before="100" w:beforeAutospacing="1" w:after="100" w:afterAutospacing="1"/>
      <w:jc w:val="left"/>
    </w:pPr>
    <w:rPr>
      <w:rFonts w:hAnsi="宋体" w:cs="宋体"/>
      <w:sz w:val="24"/>
    </w:rPr>
  </w:style>
  <w:style w:type="paragraph" w:customStyle="1" w:styleId="112">
    <w:name w:val="a"/>
    <w:basedOn w:val="1"/>
    <w:qFormat/>
    <w:uiPriority w:val="0"/>
    <w:pPr>
      <w:adjustRightInd w:val="0"/>
      <w:spacing w:line="400" w:lineRule="atLeast"/>
      <w:ind w:left="1134" w:hanging="454"/>
    </w:pPr>
    <w:rPr>
      <w:rFonts w:ascii="Arial" w:hAnsi="Arial"/>
    </w:rPr>
  </w:style>
  <w:style w:type="character" w:customStyle="1" w:styleId="113">
    <w:name w:val="无"/>
    <w:qFormat/>
    <w:uiPriority w:val="0"/>
  </w:style>
  <w:style w:type="paragraph" w:customStyle="1" w:styleId="114">
    <w:name w:val="标题 11"/>
    <w:next w:val="102"/>
    <w:qFormat/>
    <w:uiPriority w:val="0"/>
    <w:pPr>
      <w:keepNext/>
      <w:keepLines/>
      <w:widowControl w:val="0"/>
      <w:spacing w:line="360" w:lineRule="auto"/>
      <w:jc w:val="center"/>
      <w:outlineLvl w:val="1"/>
    </w:pPr>
    <w:rPr>
      <w:rFonts w:ascii="SimSong Bold" w:hAnsi="SimSong Bold" w:eastAsia="SimSong Bold" w:cs="SimSong Bold"/>
      <w:color w:val="000000"/>
      <w:kern w:val="44"/>
      <w:sz w:val="44"/>
      <w:szCs w:val="44"/>
      <w:u w:color="000000"/>
      <w:lang w:val="en-US" w:eastAsia="zh-CN" w:bidi="ar-SA"/>
    </w:rPr>
  </w:style>
  <w:style w:type="character" w:customStyle="1" w:styleId="115">
    <w:name w:val="font21"/>
    <w:basedOn w:val="33"/>
    <w:qFormat/>
    <w:uiPriority w:val="0"/>
    <w:rPr>
      <w:rFonts w:ascii="宋体" w:hAnsi="宋体" w:eastAsia="宋体" w:cs="宋体"/>
      <w:color w:val="000000"/>
      <w:sz w:val="22"/>
      <w:szCs w:val="22"/>
      <w:u w:val="none"/>
    </w:rPr>
  </w:style>
  <w:style w:type="paragraph" w:customStyle="1" w:styleId="116">
    <w:name w:val="默认"/>
    <w:qFormat/>
    <w:uiPriority w:val="0"/>
    <w:pPr>
      <w:spacing w:before="160" w:line="288" w:lineRule="auto"/>
    </w:pPr>
    <w:rPr>
      <w:rFonts w:ascii="PingFang SC Regular" w:hAnsi="PingFang SC Regular" w:eastAsia="PingFang SC Regular" w:cs="PingFang SC Regular"/>
      <w:color w:val="000000"/>
      <w:sz w:val="24"/>
      <w:szCs w:val="24"/>
      <w:lang w:val="en-US" w:eastAsia="zh-CN" w:bidi="ar-SA"/>
    </w:rPr>
  </w:style>
  <w:style w:type="paragraph" w:customStyle="1" w:styleId="117">
    <w:name w:val="标题1"/>
    <w:next w:val="102"/>
    <w:qFormat/>
    <w:uiPriority w:val="0"/>
    <w:pPr>
      <w:widowControl w:val="0"/>
      <w:spacing w:before="240" w:after="60" w:line="360" w:lineRule="auto"/>
      <w:ind w:firstLine="200"/>
      <w:jc w:val="center"/>
      <w:outlineLvl w:val="0"/>
    </w:pPr>
    <w:rPr>
      <w:rFonts w:ascii="Cambria" w:hAnsi="Cambria" w:eastAsia="Cambria" w:cs="Cambria"/>
      <w:b/>
      <w:bCs/>
      <w:color w:val="000000"/>
      <w:kern w:val="2"/>
      <w:sz w:val="32"/>
      <w:szCs w:val="32"/>
      <w:u w:color="000000"/>
      <w:lang w:val="en-US" w:eastAsia="zh-CN" w:bidi="ar-SA"/>
    </w:rPr>
  </w:style>
  <w:style w:type="paragraph" w:customStyle="1" w:styleId="118">
    <w:name w:val="正文文本缩进2"/>
    <w:qFormat/>
    <w:uiPriority w:val="0"/>
    <w:pPr>
      <w:widowControl w:val="0"/>
      <w:spacing w:line="360" w:lineRule="auto"/>
      <w:ind w:firstLine="630"/>
      <w:jc w:val="both"/>
    </w:pPr>
    <w:rPr>
      <w:rFonts w:ascii="宋体" w:hAnsi="宋体" w:eastAsia="Arial Unicode MS" w:cs="Arial Unicode MS"/>
      <w:color w:val="000000"/>
      <w:sz w:val="32"/>
      <w:szCs w:val="32"/>
      <w:u w:color="000000"/>
      <w:lang w:val="en-US" w:eastAsia="zh-CN" w:bidi="ar-SA"/>
    </w:rPr>
  </w:style>
  <w:style w:type="character" w:customStyle="1" w:styleId="119">
    <w:name w:val="Hyperlink.0"/>
    <w:qFormat/>
    <w:uiPriority w:val="0"/>
  </w:style>
  <w:style w:type="character" w:customStyle="1" w:styleId="120">
    <w:name w:val="font51"/>
    <w:qFormat/>
    <w:uiPriority w:val="0"/>
    <w:rPr>
      <w:rFonts w:hint="eastAsia" w:ascii="宋体" w:hAnsi="宋体" w:eastAsia="宋体" w:cs="宋体"/>
      <w:color w:val="FF0000"/>
      <w:sz w:val="24"/>
      <w:szCs w:val="24"/>
      <w:u w:val="none"/>
    </w:rPr>
  </w:style>
  <w:style w:type="character" w:customStyle="1" w:styleId="121">
    <w:name w:val="font91"/>
    <w:qFormat/>
    <w:uiPriority w:val="0"/>
    <w:rPr>
      <w:rFonts w:hint="eastAsia" w:ascii="宋体" w:hAnsi="宋体" w:eastAsia="宋体" w:cs="宋体"/>
      <w:color w:val="000000"/>
      <w:sz w:val="22"/>
      <w:szCs w:val="22"/>
      <w:u w:val="none"/>
      <w:vertAlign w:val="superscript"/>
    </w:rPr>
  </w:style>
  <w:style w:type="character" w:customStyle="1" w:styleId="122">
    <w:name w:val="font31"/>
    <w:qFormat/>
    <w:uiPriority w:val="0"/>
    <w:rPr>
      <w:rFonts w:hint="eastAsia" w:ascii="宋体" w:hAnsi="宋体" w:eastAsia="宋体" w:cs="宋体"/>
      <w:color w:val="FF0000"/>
      <w:sz w:val="24"/>
      <w:szCs w:val="24"/>
      <w:u w:val="none"/>
    </w:rPr>
  </w:style>
  <w:style w:type="character" w:customStyle="1" w:styleId="123">
    <w:name w:val="font11"/>
    <w:qFormat/>
    <w:uiPriority w:val="0"/>
    <w:rPr>
      <w:rFonts w:hint="eastAsia" w:ascii="宋体" w:hAnsi="宋体" w:eastAsia="宋体" w:cs="宋体"/>
      <w:color w:val="000000"/>
      <w:sz w:val="22"/>
      <w:szCs w:val="22"/>
      <w:u w:val="none"/>
    </w:rPr>
  </w:style>
  <w:style w:type="character" w:customStyle="1" w:styleId="124">
    <w:name w:val="font41"/>
    <w:qFormat/>
    <w:uiPriority w:val="0"/>
    <w:rPr>
      <w:rFonts w:hint="eastAsia" w:ascii="宋体" w:hAnsi="宋体" w:eastAsia="宋体" w:cs="宋体"/>
      <w:color w:val="FF0000"/>
      <w:sz w:val="22"/>
      <w:szCs w:val="22"/>
      <w:u w:val="none"/>
    </w:rPr>
  </w:style>
  <w:style w:type="character" w:customStyle="1" w:styleId="125">
    <w:name w:val="NormalCharacter"/>
    <w:qFormat/>
    <w:uiPriority w:val="0"/>
    <w:rPr>
      <w:kern w:val="2"/>
      <w:sz w:val="21"/>
      <w:szCs w:val="24"/>
      <w:lang w:val="en-US" w:eastAsia="zh-CN" w:bidi="ar-SA"/>
    </w:rPr>
  </w:style>
  <w:style w:type="paragraph" w:customStyle="1" w:styleId="126">
    <w:name w:val="标题 5（有编号）（绿盟科技）"/>
    <w:basedOn w:val="1"/>
    <w:next w:val="1"/>
    <w:qFormat/>
    <w:uiPriority w:val="0"/>
    <w:pPr>
      <w:keepNext/>
      <w:keepLines/>
      <w:numPr>
        <w:ilvl w:val="4"/>
        <w:numId w:val="1"/>
      </w:numPr>
      <w:spacing w:before="280" w:after="156" w:line="377" w:lineRule="auto"/>
      <w:jc w:val="left"/>
      <w:outlineLvl w:val="4"/>
    </w:pPr>
    <w:rPr>
      <w:rFonts w:ascii="Arial" w:hAnsi="Arial" w:eastAsia="黑体"/>
      <w:b/>
      <w:sz w:val="24"/>
      <w:szCs w:val="28"/>
    </w:rPr>
  </w:style>
  <w:style w:type="paragraph" w:customStyle="1" w:styleId="127">
    <w:name w:val="正文（绿盟科技）"/>
    <w:qFormat/>
    <w:uiPriority w:val="0"/>
    <w:pPr>
      <w:spacing w:line="300" w:lineRule="auto"/>
    </w:pPr>
    <w:rPr>
      <w:rFonts w:ascii="Arial" w:hAnsi="Arial" w:eastAsia="等线" w:cs="等线"/>
      <w:sz w:val="21"/>
      <w:szCs w:val="21"/>
      <w:lang w:val="en-US" w:eastAsia="zh-CN" w:bidi="ar-SA"/>
    </w:rPr>
  </w:style>
  <w:style w:type="paragraph" w:customStyle="1" w:styleId="128">
    <w:name w:val="FS正文"/>
    <w:basedOn w:val="29"/>
    <w:qFormat/>
    <w:uiPriority w:val="0"/>
    <w:pPr>
      <w:widowControl/>
      <w:spacing w:after="0" w:line="360" w:lineRule="auto"/>
      <w:ind w:firstLine="200" w:firstLineChars="200"/>
      <w:jc w:val="left"/>
    </w:pPr>
    <w:rPr>
      <w:rFonts w:ascii="Calibri Light" w:hAnsi="Calibri Light" w:eastAsia="仿宋" w:cs="Times New Roman"/>
      <w:sz w:val="24"/>
      <w:szCs w:val="20"/>
    </w:rPr>
  </w:style>
  <w:style w:type="table" w:customStyle="1" w:styleId="129">
    <w:name w:val="Table Normal"/>
    <w:unhideWhenUsed/>
    <w:qFormat/>
    <w:uiPriority w:val="0"/>
    <w:rPr>
      <w:rFonts w:ascii="等线" w:hAnsi="等线" w:eastAsia="等线" w:cs="等线"/>
    </w:rPr>
    <w:tblPr>
      <w:tblLayout w:type="fixed"/>
      <w:tblCellMar>
        <w:top w:w="0" w:type="dxa"/>
        <w:left w:w="0" w:type="dxa"/>
        <w:bottom w:w="0" w:type="dxa"/>
        <w:right w:w="0" w:type="dxa"/>
      </w:tblCellMar>
    </w:tblPr>
  </w:style>
  <w:style w:type="paragraph" w:customStyle="1" w:styleId="130">
    <w:name w:val="修订1"/>
    <w:hidden/>
    <w:semiHidden/>
    <w:qFormat/>
    <w:uiPriority w:val="99"/>
    <w:rPr>
      <w:rFonts w:ascii="宋体" w:hAnsi="等线" w:eastAsia="等线" w:cs="等线"/>
      <w:sz w:val="34"/>
      <w:lang w:val="en-US" w:eastAsia="zh-CN" w:bidi="ar-SA"/>
    </w:rPr>
  </w:style>
  <w:style w:type="paragraph" w:customStyle="1" w:styleId="131">
    <w:name w:val="Body text|1"/>
    <w:basedOn w:val="1"/>
    <w:qFormat/>
    <w:uiPriority w:val="0"/>
    <w:pPr>
      <w:spacing w:line="413" w:lineRule="auto"/>
      <w:ind w:firstLine="400"/>
    </w:pPr>
    <w:rPr>
      <w:rFonts w:hAnsi="宋体" w:cs="宋体"/>
      <w:kern w:val="2"/>
      <w:sz w:val="22"/>
      <w:szCs w:val="22"/>
      <w:lang w:val="zh-TW" w:eastAsia="zh-TW" w:bidi="zh-TW"/>
    </w:rPr>
  </w:style>
  <w:style w:type="paragraph" w:customStyle="1" w:styleId="132">
    <w:name w:val="Body text|2"/>
    <w:basedOn w:val="1"/>
    <w:qFormat/>
    <w:uiPriority w:val="0"/>
    <w:pPr>
      <w:spacing w:after="240" w:line="329" w:lineRule="auto"/>
      <w:ind w:right="380" w:firstLine="240"/>
    </w:pPr>
    <w:rPr>
      <w:rFonts w:ascii="Calibri" w:hAnsi="Calibri"/>
      <w:kern w:val="2"/>
      <w:sz w:val="22"/>
      <w:szCs w:val="22"/>
      <w:lang w:val="zh-TW" w:eastAsia="zh-TW" w:bidi="zh-TW"/>
    </w:rPr>
  </w:style>
  <w:style w:type="paragraph" w:customStyle="1" w:styleId="133">
    <w:name w:val="正文新"/>
    <w:qFormat/>
    <w:uiPriority w:val="0"/>
    <w:pPr>
      <w:widowControl w:val="0"/>
      <w:spacing w:line="360" w:lineRule="auto"/>
      <w:ind w:firstLine="200"/>
      <w:jc w:val="both"/>
    </w:pPr>
    <w:rPr>
      <w:rFonts w:ascii="Arial Unicode MS" w:hAnsi="Arial Unicode MS" w:eastAsia="Times New Roman" w:cs="Arial Unicode MS"/>
      <w:color w:val="000000"/>
      <w:sz w:val="24"/>
      <w:szCs w:val="24"/>
      <w:u w:color="00000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63</Pages>
  <Words>13087</Words>
  <Characters>13633</Characters>
  <Lines>237</Lines>
  <Paragraphs>66</Paragraphs>
  <TotalTime>4</TotalTime>
  <ScaleCrop>false</ScaleCrop>
  <LinksUpToDate>false</LinksUpToDate>
  <CharactersWithSpaces>13773</CharactersWithSpaces>
  <Application>WPS Office_11.8.6.8556_F1E327BC-269C-435d-A152-05C5408002CA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2023-11-10T01:25:00Z</dcterms:created>
  <dc:creator>唐琳</dc:creator>
  <cp:lastModifiedBy>刘杰</cp:lastModifiedBy>
  <cp:lastPrinted>2025-03-19T02:35:00Z</cp:lastPrinted>
  <dcterms:modified xsi:type="dcterms:W3CDTF">2025-04-07T03:23:53Z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2052-11.8.6.8556</vt:lpwstr>
  </property>
  <property fmtid="{D5CDD505-2E9C-101B-9397-08002B2CF9AE}" pid="3" name="ICV">
    <vt:lpwstr>9A02D82C64014B38AF17628089E9848F_13</vt:lpwstr>
  </property>
  <property fmtid="{D5CDD505-2E9C-101B-9397-08002B2CF9AE}" pid="4" name="KSOTemplateDocerSaveRecord">
    <vt:lpwstr>eyJoZGlkIjoiNmUwNzQwODhmNWZlNGQ5ZTk0MGQwNzcwMjAzYzk2MGQiLCJ1c2VySWQiOiI0NTkxODE2MjEifQ==</vt:lpwstr>
  </property>
</Properties>
</file>